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C3C0" w14:textId="77777777" w:rsidR="00812AD2" w:rsidRDefault="00812AD2" w:rsidP="00A153B3">
      <w:pPr>
        <w:ind w:left="-993" w:firstLine="993"/>
        <w:rPr>
          <w:rFonts w:ascii="Arial" w:hAnsi="Arial" w:cs="Arial"/>
          <w:b/>
          <w:bCs/>
          <w:color w:val="000000"/>
          <w:sz w:val="20"/>
          <w:szCs w:val="20"/>
          <w:lang w:eastAsia="en-GB"/>
        </w:rPr>
      </w:pPr>
      <w:r w:rsidRPr="00812AD2">
        <w:rPr>
          <w:rFonts w:ascii="Arial" w:hAnsi="Arial" w:cs="Arial"/>
          <w:b/>
          <w:bCs/>
          <w:color w:val="000000"/>
          <w:sz w:val="20"/>
          <w:szCs w:val="20"/>
          <w:lang w:eastAsia="en-GB"/>
        </w:rPr>
        <w:t>NEWFUNDS S&amp;P GIVI SA TOP 50 INDEX ETF PORTFOLIO</w:t>
      </w:r>
    </w:p>
    <w:p w14:paraId="40898234" w14:textId="77777777" w:rsidR="006A43F6" w:rsidRDefault="003F4E11" w:rsidP="00A153B3">
      <w:pPr>
        <w:ind w:left="-993" w:firstLine="993"/>
        <w:rPr>
          <w:rFonts w:ascii="Arial" w:hAnsi="Arial" w:cs="Arial"/>
          <w:color w:val="000000"/>
          <w:sz w:val="20"/>
          <w:szCs w:val="20"/>
          <w:lang w:eastAsia="en-GB"/>
        </w:rPr>
      </w:pPr>
      <w:r>
        <w:rPr>
          <w:rFonts w:ascii="Arial" w:hAnsi="Arial" w:cs="Arial"/>
          <w:color w:val="000000"/>
          <w:sz w:val="20"/>
          <w:szCs w:val="20"/>
          <w:lang w:eastAsia="en-GB"/>
        </w:rPr>
        <w:t>Share code: NERA</w:t>
      </w:r>
    </w:p>
    <w:p w14:paraId="7654DCA1" w14:textId="77777777" w:rsidR="006A43F6" w:rsidRDefault="006A43F6" w:rsidP="006A43F6">
      <w:pPr>
        <w:rPr>
          <w:rFonts w:ascii="Arial" w:hAnsi="Arial" w:cs="Arial"/>
          <w:color w:val="000000"/>
          <w:sz w:val="20"/>
          <w:szCs w:val="20"/>
          <w:lang w:eastAsia="en-GB"/>
        </w:rPr>
      </w:pPr>
      <w:r w:rsidRPr="006A43F6">
        <w:rPr>
          <w:rFonts w:ascii="Arial" w:hAnsi="Arial" w:cs="Arial"/>
          <w:color w:val="000000"/>
          <w:sz w:val="20"/>
          <w:szCs w:val="20"/>
          <w:lang w:eastAsia="en-GB"/>
        </w:rPr>
        <w:t xml:space="preserve">ISIN: </w:t>
      </w:r>
      <w:r w:rsidR="002919A9" w:rsidRPr="002919A9">
        <w:rPr>
          <w:rFonts w:ascii="Arial" w:hAnsi="Arial" w:cs="Arial"/>
          <w:color w:val="000000"/>
          <w:sz w:val="20"/>
          <w:szCs w:val="20"/>
          <w:lang w:eastAsia="en-GB"/>
        </w:rPr>
        <w:t>ZAE000205225</w:t>
      </w:r>
      <w:r w:rsidRPr="006A43F6">
        <w:rPr>
          <w:rFonts w:ascii="Arial" w:hAnsi="Arial" w:cs="Arial"/>
          <w:color w:val="000000"/>
          <w:sz w:val="20"/>
          <w:szCs w:val="20"/>
          <w:lang w:eastAsia="en-GB"/>
        </w:rPr>
        <w:t xml:space="preserve"> </w:t>
      </w:r>
    </w:p>
    <w:p w14:paraId="30A1013A" w14:textId="77777777" w:rsidR="006A43F6" w:rsidRPr="00DA1A7A" w:rsidRDefault="006A43F6" w:rsidP="006A43F6">
      <w:pPr>
        <w:spacing w:before="240" w:after="240"/>
        <w:jc w:val="both"/>
        <w:rPr>
          <w:rFonts w:ascii="Arial" w:hAnsi="Arial" w:cs="Arial"/>
          <w:sz w:val="20"/>
          <w:szCs w:val="20"/>
          <w:lang w:eastAsia="en-GB"/>
        </w:rPr>
      </w:pPr>
      <w:r w:rsidRPr="00DA1A7A">
        <w:rPr>
          <w:rFonts w:ascii="Arial" w:hAnsi="Arial" w:cs="Arial"/>
          <w:sz w:val="20"/>
          <w:szCs w:val="20"/>
          <w:lang w:eastAsia="en-GB"/>
        </w:rPr>
        <w:t>Portfolios in the NewFunds Collective Investment Scheme in Securities registered as such in terms of the Collective Investment Schemes Control Act, 45 of 2002 and managed by NewFunds</w:t>
      </w:r>
      <w:r w:rsidR="00F53AA1">
        <w:rPr>
          <w:rFonts w:ascii="Arial" w:hAnsi="Arial" w:cs="Arial"/>
          <w:sz w:val="20"/>
          <w:szCs w:val="20"/>
          <w:lang w:eastAsia="en-GB"/>
        </w:rPr>
        <w:t xml:space="preserve"> (RF)</w:t>
      </w:r>
      <w:r w:rsidRPr="00DA1A7A">
        <w:rPr>
          <w:rFonts w:ascii="Arial" w:hAnsi="Arial" w:cs="Arial"/>
          <w:sz w:val="20"/>
          <w:szCs w:val="20"/>
          <w:lang w:eastAsia="en-GB"/>
        </w:rPr>
        <w:t xml:space="preserve"> Proprietary Limited (</w:t>
      </w:r>
      <w:r w:rsidRPr="00DA1A7A">
        <w:rPr>
          <w:rFonts w:ascii="Arial" w:hAnsi="Arial" w:cs="Arial"/>
          <w:color w:val="000000"/>
          <w:sz w:val="20"/>
          <w:szCs w:val="20"/>
          <w:lang w:eastAsia="en-GB"/>
        </w:rPr>
        <w:t>Registration Number 2005/034899/07)</w:t>
      </w:r>
    </w:p>
    <w:p w14:paraId="2BB8E7E9" w14:textId="3D433672" w:rsidR="006A43F6" w:rsidRDefault="003F4E11" w:rsidP="006A43F6">
      <w:pPr>
        <w:spacing w:before="240" w:after="240"/>
        <w:rPr>
          <w:rFonts w:ascii="Arial" w:hAnsi="Arial" w:cs="Arial"/>
          <w:b/>
          <w:bCs/>
          <w:color w:val="000000"/>
          <w:sz w:val="20"/>
          <w:szCs w:val="20"/>
          <w:lang w:eastAsia="en-GB"/>
        </w:rPr>
      </w:pPr>
      <w:r>
        <w:rPr>
          <w:rFonts w:ascii="Arial" w:hAnsi="Arial" w:cs="Arial"/>
          <w:b/>
          <w:bCs/>
          <w:color w:val="000000"/>
          <w:sz w:val="20"/>
          <w:szCs w:val="20"/>
          <w:lang w:eastAsia="en-GB"/>
        </w:rPr>
        <w:t>NERA MUR</w:t>
      </w:r>
      <w:r w:rsidR="00CB2FB5">
        <w:rPr>
          <w:rFonts w:ascii="Arial" w:hAnsi="Arial" w:cs="Arial"/>
          <w:b/>
          <w:bCs/>
          <w:color w:val="000000"/>
          <w:sz w:val="20"/>
          <w:szCs w:val="20"/>
          <w:lang w:eastAsia="en-GB"/>
        </w:rPr>
        <w:t xml:space="preserve"> </w:t>
      </w:r>
      <w:r w:rsidR="006A43F6">
        <w:rPr>
          <w:rFonts w:ascii="Arial" w:hAnsi="Arial" w:cs="Arial"/>
          <w:b/>
          <w:bCs/>
          <w:color w:val="000000"/>
          <w:sz w:val="20"/>
          <w:szCs w:val="20"/>
          <w:lang w:eastAsia="en-GB"/>
        </w:rPr>
        <w:t xml:space="preserve">DISTRIBUTION </w:t>
      </w:r>
      <w:r w:rsidR="006A43F6" w:rsidRPr="00DA1A7A">
        <w:rPr>
          <w:rFonts w:ascii="Arial" w:hAnsi="Arial" w:cs="Arial"/>
          <w:b/>
          <w:bCs/>
          <w:color w:val="000000"/>
          <w:sz w:val="20"/>
          <w:szCs w:val="20"/>
          <w:lang w:eastAsia="en-GB"/>
        </w:rPr>
        <w:t>ANNOU</w:t>
      </w:r>
      <w:r w:rsidR="002919A9">
        <w:rPr>
          <w:rFonts w:ascii="Arial" w:hAnsi="Arial" w:cs="Arial"/>
          <w:b/>
          <w:bCs/>
          <w:color w:val="000000"/>
          <w:sz w:val="20"/>
          <w:szCs w:val="20"/>
          <w:lang w:eastAsia="en-GB"/>
        </w:rPr>
        <w:t>NCEME</w:t>
      </w:r>
      <w:r w:rsidR="00A4672A">
        <w:rPr>
          <w:rFonts w:ascii="Arial" w:hAnsi="Arial" w:cs="Arial"/>
          <w:b/>
          <w:bCs/>
          <w:color w:val="000000"/>
          <w:sz w:val="20"/>
          <w:szCs w:val="20"/>
          <w:lang w:eastAsia="en-GB"/>
        </w:rPr>
        <w:t>NT FO</w:t>
      </w:r>
      <w:r w:rsidR="00145DD1">
        <w:rPr>
          <w:rFonts w:ascii="Arial" w:hAnsi="Arial" w:cs="Arial"/>
          <w:b/>
          <w:bCs/>
          <w:color w:val="000000"/>
          <w:sz w:val="20"/>
          <w:szCs w:val="20"/>
          <w:lang w:eastAsia="en-GB"/>
        </w:rPr>
        <w:t xml:space="preserve">R THE QUARTER ENDED </w:t>
      </w:r>
      <w:r w:rsidR="00FC407D">
        <w:rPr>
          <w:rFonts w:ascii="Arial" w:hAnsi="Arial" w:cs="Arial"/>
          <w:b/>
          <w:bCs/>
          <w:color w:val="000000"/>
          <w:sz w:val="20"/>
          <w:szCs w:val="20"/>
          <w:lang w:eastAsia="en-GB"/>
        </w:rPr>
        <w:t>31</w:t>
      </w:r>
      <w:r w:rsidR="008C23BA">
        <w:rPr>
          <w:rFonts w:ascii="Arial" w:hAnsi="Arial" w:cs="Arial"/>
          <w:b/>
          <w:bCs/>
          <w:color w:val="000000"/>
          <w:sz w:val="20"/>
          <w:szCs w:val="20"/>
          <w:lang w:eastAsia="en-GB"/>
        </w:rPr>
        <w:t xml:space="preserve"> </w:t>
      </w:r>
      <w:r w:rsidR="009D3FF1">
        <w:rPr>
          <w:rFonts w:ascii="Arial" w:hAnsi="Arial" w:cs="Arial"/>
          <w:b/>
          <w:bCs/>
          <w:color w:val="000000"/>
          <w:sz w:val="20"/>
          <w:szCs w:val="20"/>
          <w:lang w:eastAsia="en-GB"/>
        </w:rPr>
        <w:t>MARCH 2022</w:t>
      </w:r>
    </w:p>
    <w:p w14:paraId="6FA5A750" w14:textId="01DCF1D6" w:rsidR="00CF1999" w:rsidRPr="00CF1999" w:rsidRDefault="00CF1999" w:rsidP="006A43F6">
      <w:pPr>
        <w:spacing w:before="240" w:after="240"/>
        <w:rPr>
          <w:rFonts w:ascii="Arial" w:hAnsi="Arial" w:cs="Arial"/>
          <w:bCs/>
          <w:color w:val="000000"/>
          <w:sz w:val="20"/>
          <w:szCs w:val="20"/>
          <w:lang w:eastAsia="en-GB"/>
        </w:rPr>
      </w:pPr>
      <w:r w:rsidRPr="00CF1999">
        <w:rPr>
          <w:rFonts w:ascii="Arial" w:hAnsi="Arial" w:cs="Arial"/>
          <w:bCs/>
          <w:color w:val="000000"/>
          <w:sz w:val="20"/>
          <w:szCs w:val="20"/>
          <w:lang w:eastAsia="en-GB"/>
        </w:rPr>
        <w:t xml:space="preserve">NewFunds has today finalised a distribution to holders of ETF securities ("investors") recorded as such in the register on Friday, </w:t>
      </w:r>
      <w:r w:rsidR="008C23BA">
        <w:rPr>
          <w:rFonts w:ascii="Arial" w:hAnsi="Arial" w:cs="Arial"/>
          <w:bCs/>
          <w:color w:val="000000"/>
          <w:sz w:val="20"/>
          <w:szCs w:val="20"/>
          <w:lang w:eastAsia="en-GB"/>
        </w:rPr>
        <w:t>2</w:t>
      </w:r>
      <w:r w:rsidR="009D3FF1">
        <w:rPr>
          <w:rFonts w:ascii="Arial" w:hAnsi="Arial" w:cs="Arial"/>
          <w:bCs/>
          <w:color w:val="000000"/>
          <w:sz w:val="20"/>
          <w:szCs w:val="20"/>
          <w:lang w:eastAsia="en-GB"/>
        </w:rPr>
        <w:t>9</w:t>
      </w:r>
      <w:r w:rsidR="008C23BA">
        <w:rPr>
          <w:rFonts w:ascii="Arial" w:hAnsi="Arial" w:cs="Arial"/>
          <w:bCs/>
          <w:color w:val="000000"/>
          <w:sz w:val="20"/>
          <w:szCs w:val="20"/>
          <w:lang w:eastAsia="en-GB"/>
        </w:rPr>
        <w:t xml:space="preserve"> </w:t>
      </w:r>
      <w:r w:rsidR="009D3FF1">
        <w:rPr>
          <w:rFonts w:ascii="Arial" w:hAnsi="Arial" w:cs="Arial"/>
          <w:bCs/>
          <w:color w:val="000000"/>
          <w:sz w:val="20"/>
          <w:szCs w:val="20"/>
          <w:lang w:eastAsia="en-GB"/>
        </w:rPr>
        <w:t>April</w:t>
      </w:r>
      <w:r w:rsidR="00FC407D">
        <w:rPr>
          <w:rFonts w:ascii="Arial" w:hAnsi="Arial" w:cs="Arial"/>
          <w:bCs/>
          <w:color w:val="000000"/>
          <w:sz w:val="20"/>
          <w:szCs w:val="20"/>
          <w:lang w:eastAsia="en-GB"/>
        </w:rPr>
        <w:t xml:space="preserve"> 2022</w:t>
      </w:r>
      <w:r w:rsidRPr="00CF1999">
        <w:rPr>
          <w:rFonts w:ascii="Arial" w:hAnsi="Arial" w:cs="Arial"/>
          <w:bCs/>
          <w:color w:val="000000"/>
          <w:sz w:val="20"/>
          <w:szCs w:val="20"/>
          <w:lang w:eastAsia="en-GB"/>
        </w:rPr>
        <w:t xml:space="preserve">, for the quarter ended </w:t>
      </w:r>
      <w:r w:rsidR="008C23BA">
        <w:rPr>
          <w:rFonts w:ascii="Arial" w:hAnsi="Arial" w:cs="Arial"/>
          <w:bCs/>
          <w:color w:val="000000"/>
          <w:sz w:val="20"/>
          <w:szCs w:val="20"/>
          <w:lang w:eastAsia="en-GB"/>
        </w:rPr>
        <w:t>3</w:t>
      </w:r>
      <w:r w:rsidR="00FC407D">
        <w:rPr>
          <w:rFonts w:ascii="Arial" w:hAnsi="Arial" w:cs="Arial"/>
          <w:bCs/>
          <w:color w:val="000000"/>
          <w:sz w:val="20"/>
          <w:szCs w:val="20"/>
          <w:lang w:eastAsia="en-GB"/>
        </w:rPr>
        <w:t>1</w:t>
      </w:r>
      <w:r w:rsidR="008C23BA">
        <w:rPr>
          <w:rFonts w:ascii="Arial" w:hAnsi="Arial" w:cs="Arial"/>
          <w:bCs/>
          <w:color w:val="000000"/>
          <w:sz w:val="20"/>
          <w:szCs w:val="20"/>
          <w:lang w:eastAsia="en-GB"/>
        </w:rPr>
        <w:t xml:space="preserve"> </w:t>
      </w:r>
      <w:r w:rsidR="009D3FF1">
        <w:rPr>
          <w:rFonts w:ascii="Arial" w:hAnsi="Arial" w:cs="Arial"/>
          <w:bCs/>
          <w:color w:val="000000"/>
          <w:sz w:val="20"/>
          <w:szCs w:val="20"/>
          <w:lang w:eastAsia="en-GB"/>
        </w:rPr>
        <w:t>March</w:t>
      </w:r>
      <w:r w:rsidR="000B76D9">
        <w:rPr>
          <w:rFonts w:ascii="Arial" w:hAnsi="Arial" w:cs="Arial"/>
          <w:bCs/>
          <w:color w:val="000000"/>
          <w:sz w:val="20"/>
          <w:szCs w:val="20"/>
          <w:lang w:eastAsia="en-GB"/>
        </w:rPr>
        <w:t xml:space="preserve"> 202</w:t>
      </w:r>
      <w:r w:rsidR="009D3FF1">
        <w:rPr>
          <w:rFonts w:ascii="Arial" w:hAnsi="Arial" w:cs="Arial"/>
          <w:bCs/>
          <w:color w:val="000000"/>
          <w:sz w:val="20"/>
          <w:szCs w:val="20"/>
          <w:lang w:eastAsia="en-GB"/>
        </w:rPr>
        <w:t>2</w:t>
      </w:r>
      <w:r w:rsidRPr="00CF1999">
        <w:rPr>
          <w:rFonts w:ascii="Arial" w:hAnsi="Arial" w:cs="Arial"/>
          <w:bCs/>
          <w:color w:val="000000"/>
          <w:sz w:val="20"/>
          <w:szCs w:val="20"/>
          <w:lang w:eastAsia="en-GB"/>
        </w:rPr>
        <w:t xml:space="preserve"> as follows:</w:t>
      </w:r>
    </w:p>
    <w:tbl>
      <w:tblPr>
        <w:tblW w:w="10440" w:type="dxa"/>
        <w:tblCellMar>
          <w:left w:w="0" w:type="dxa"/>
          <w:right w:w="0" w:type="dxa"/>
        </w:tblCellMar>
        <w:tblLook w:val="04A0" w:firstRow="1" w:lastRow="0" w:firstColumn="1" w:lastColumn="0" w:noHBand="0" w:noVBand="1"/>
      </w:tblPr>
      <w:tblGrid>
        <w:gridCol w:w="1123"/>
        <w:gridCol w:w="1215"/>
        <w:gridCol w:w="2283"/>
        <w:gridCol w:w="1640"/>
        <w:gridCol w:w="1398"/>
        <w:gridCol w:w="1253"/>
        <w:gridCol w:w="1528"/>
      </w:tblGrid>
      <w:tr w:rsidR="00CF1999" w14:paraId="7B06F2DE" w14:textId="77777777" w:rsidTr="00402336">
        <w:trPr>
          <w:trHeight w:val="960"/>
        </w:trPr>
        <w:tc>
          <w:tcPr>
            <w:tcW w:w="1123" w:type="dxa"/>
            <w:tcBorders>
              <w:top w:val="single" w:sz="4" w:space="0" w:color="auto"/>
              <w:left w:val="single" w:sz="4" w:space="0" w:color="auto"/>
              <w:bottom w:val="single" w:sz="4" w:space="0" w:color="auto"/>
              <w:right w:val="single" w:sz="4" w:space="0" w:color="auto"/>
            </w:tcBorders>
            <w:shd w:val="clear" w:color="000000" w:fill="B2A1C7"/>
            <w:tcMar>
              <w:top w:w="16" w:type="dxa"/>
              <w:left w:w="16" w:type="dxa"/>
              <w:bottom w:w="0" w:type="dxa"/>
              <w:right w:w="16" w:type="dxa"/>
            </w:tcMar>
            <w:vAlign w:val="center"/>
            <w:hideMark/>
          </w:tcPr>
          <w:p w14:paraId="4110A7D1" w14:textId="77777777" w:rsidR="00CF1999" w:rsidRDefault="00CF1999">
            <w:pPr>
              <w:jc w:val="center"/>
              <w:rPr>
                <w:rFonts w:ascii="Arial" w:hAnsi="Arial" w:cs="Arial"/>
                <w:b/>
                <w:bCs/>
                <w:color w:val="0D0D0D"/>
                <w:sz w:val="20"/>
                <w:szCs w:val="20"/>
              </w:rPr>
            </w:pPr>
            <w:r>
              <w:rPr>
                <w:rFonts w:ascii="Arial" w:hAnsi="Arial" w:cs="Arial"/>
                <w:b/>
                <w:bCs/>
                <w:color w:val="0D0D0D"/>
                <w:sz w:val="20"/>
                <w:szCs w:val="20"/>
              </w:rPr>
              <w:t>Alpha code</w:t>
            </w:r>
          </w:p>
        </w:tc>
        <w:tc>
          <w:tcPr>
            <w:tcW w:w="1215"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3702CB3A"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Dividend/</w:t>
            </w:r>
            <w:r>
              <w:rPr>
                <w:rFonts w:ascii="Arial" w:hAnsi="Arial" w:cs="Arial"/>
                <w:b/>
                <w:bCs/>
                <w:color w:val="0D0D0D"/>
                <w:sz w:val="18"/>
                <w:szCs w:val="18"/>
              </w:rPr>
              <w:br/>
              <w:t>Interest</w:t>
            </w:r>
          </w:p>
        </w:tc>
        <w:tc>
          <w:tcPr>
            <w:tcW w:w="2283"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013B42CC"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Foreign/</w:t>
            </w:r>
            <w:r>
              <w:rPr>
                <w:rFonts w:ascii="Arial" w:hAnsi="Arial" w:cs="Arial"/>
                <w:b/>
                <w:bCs/>
                <w:color w:val="0D0D0D"/>
                <w:sz w:val="18"/>
                <w:szCs w:val="18"/>
              </w:rPr>
              <w:br/>
              <w:t xml:space="preserve"> Local</w:t>
            </w:r>
          </w:p>
        </w:tc>
        <w:tc>
          <w:tcPr>
            <w:tcW w:w="1640"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597E2D9A"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 xml:space="preserve">Gross </w:t>
            </w:r>
            <w:r>
              <w:rPr>
                <w:rFonts w:ascii="Arial" w:hAnsi="Arial" w:cs="Arial"/>
                <w:b/>
                <w:bCs/>
                <w:color w:val="0D0D0D"/>
                <w:sz w:val="18"/>
                <w:szCs w:val="18"/>
              </w:rPr>
              <w:br/>
              <w:t>Distribution</w:t>
            </w:r>
            <w:r>
              <w:rPr>
                <w:rFonts w:ascii="Arial" w:hAnsi="Arial" w:cs="Arial"/>
                <w:b/>
                <w:bCs/>
                <w:color w:val="0D0D0D"/>
                <w:sz w:val="18"/>
                <w:szCs w:val="18"/>
              </w:rPr>
              <w:br/>
              <w:t>(Cents per unit)</w:t>
            </w:r>
          </w:p>
        </w:tc>
        <w:tc>
          <w:tcPr>
            <w:tcW w:w="1398"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58A84E34"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Subject to Withholding tax</w:t>
            </w:r>
            <w:r>
              <w:rPr>
                <w:rFonts w:ascii="Arial" w:hAnsi="Arial" w:cs="Arial"/>
                <w:b/>
                <w:bCs/>
                <w:color w:val="0D0D0D"/>
                <w:sz w:val="18"/>
                <w:szCs w:val="18"/>
              </w:rPr>
              <w:br/>
              <w:t>Yes/ No</w:t>
            </w:r>
          </w:p>
        </w:tc>
        <w:tc>
          <w:tcPr>
            <w:tcW w:w="1253"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4BCCFD5A"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w:t>
            </w:r>
            <w:r>
              <w:rPr>
                <w:rFonts w:ascii="Arial" w:hAnsi="Arial" w:cs="Arial"/>
                <w:b/>
                <w:bCs/>
                <w:color w:val="000000"/>
                <w:sz w:val="18"/>
                <w:szCs w:val="18"/>
              </w:rPr>
              <w:t>Withholding</w:t>
            </w:r>
            <w:r>
              <w:rPr>
                <w:rFonts w:ascii="Arial" w:hAnsi="Arial" w:cs="Arial"/>
                <w:b/>
                <w:bCs/>
                <w:color w:val="000000"/>
                <w:sz w:val="18"/>
                <w:szCs w:val="18"/>
              </w:rPr>
              <w:br/>
              <w:t xml:space="preserve"> Tax (%)</w:t>
            </w:r>
            <w:r>
              <w:rPr>
                <w:rFonts w:ascii="Arial" w:hAnsi="Arial" w:cs="Arial"/>
                <w:b/>
                <w:bCs/>
                <w:color w:val="0D0D0D"/>
                <w:sz w:val="18"/>
                <w:szCs w:val="18"/>
              </w:rPr>
              <w:br/>
              <w:t xml:space="preserve"> </w:t>
            </w:r>
          </w:p>
        </w:tc>
        <w:tc>
          <w:tcPr>
            <w:tcW w:w="1528"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12204515"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 xml:space="preserve">Net </w:t>
            </w:r>
            <w:r>
              <w:rPr>
                <w:rFonts w:ascii="Arial" w:hAnsi="Arial" w:cs="Arial"/>
                <w:b/>
                <w:bCs/>
                <w:color w:val="0D0D0D"/>
                <w:sz w:val="18"/>
                <w:szCs w:val="18"/>
              </w:rPr>
              <w:br/>
              <w:t>Distribution</w:t>
            </w:r>
            <w:r>
              <w:rPr>
                <w:rFonts w:ascii="Arial" w:hAnsi="Arial" w:cs="Arial"/>
                <w:b/>
                <w:bCs/>
                <w:color w:val="0D0D0D"/>
                <w:sz w:val="18"/>
                <w:szCs w:val="18"/>
              </w:rPr>
              <w:br/>
              <w:t>(Cents per unit)</w:t>
            </w:r>
          </w:p>
        </w:tc>
      </w:tr>
      <w:tr w:rsidR="009D3FF1" w14:paraId="68D78DE7" w14:textId="77777777" w:rsidTr="00CF1999">
        <w:trPr>
          <w:trHeight w:val="300"/>
        </w:trPr>
        <w:tc>
          <w:tcPr>
            <w:tcW w:w="0" w:type="auto"/>
            <w:tcBorders>
              <w:top w:val="nil"/>
              <w:left w:val="single" w:sz="4" w:space="0" w:color="auto"/>
              <w:bottom w:val="single" w:sz="4" w:space="0" w:color="auto"/>
              <w:right w:val="single" w:sz="4" w:space="0" w:color="auto"/>
            </w:tcBorders>
            <w:shd w:val="clear" w:color="000000" w:fill="CCC0DA"/>
            <w:noWrap/>
            <w:tcMar>
              <w:top w:w="16" w:type="dxa"/>
              <w:left w:w="16" w:type="dxa"/>
              <w:bottom w:w="0" w:type="dxa"/>
              <w:right w:w="16" w:type="dxa"/>
            </w:tcMar>
            <w:vAlign w:val="center"/>
            <w:hideMark/>
          </w:tcPr>
          <w:p w14:paraId="54A03059"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NERA</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206BB05C"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Interest</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5E596DB8"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Local</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27D323CE" w14:textId="33B6AE8F" w:rsidR="009D3FF1" w:rsidRDefault="009D3FF1" w:rsidP="009D3FF1">
            <w:pPr>
              <w:jc w:val="center"/>
              <w:rPr>
                <w:rFonts w:ascii="Arial" w:hAnsi="Arial" w:cs="Arial"/>
                <w:color w:val="000000"/>
                <w:sz w:val="20"/>
                <w:szCs w:val="20"/>
              </w:rPr>
            </w:pPr>
            <w:r>
              <w:rPr>
                <w:rFonts w:ascii="Arial" w:hAnsi="Arial" w:cs="Arial"/>
                <w:color w:val="000000"/>
                <w:sz w:val="20"/>
                <w:szCs w:val="20"/>
              </w:rPr>
              <w:t>0.53289</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6A116841"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No</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38D97E53"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0AD00189" w14:textId="624162DD" w:rsidR="009D3FF1" w:rsidRDefault="009D3FF1" w:rsidP="009D3FF1">
            <w:pPr>
              <w:jc w:val="center"/>
              <w:rPr>
                <w:rFonts w:ascii="Arial" w:hAnsi="Arial" w:cs="Arial"/>
                <w:color w:val="000000"/>
                <w:sz w:val="20"/>
                <w:szCs w:val="20"/>
              </w:rPr>
            </w:pPr>
            <w:r>
              <w:rPr>
                <w:rFonts w:ascii="Arial" w:hAnsi="Arial" w:cs="Arial"/>
                <w:color w:val="000000"/>
                <w:sz w:val="20"/>
                <w:szCs w:val="20"/>
              </w:rPr>
              <w:t>0.53289</w:t>
            </w:r>
          </w:p>
        </w:tc>
      </w:tr>
      <w:tr w:rsidR="009D3FF1" w14:paraId="247C860A" w14:textId="77777777" w:rsidTr="00CF199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306BCC68"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328D846E"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Dividend</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7A1E30D8"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South African Dividend</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7344DA35" w14:textId="592173A3" w:rsidR="009D3FF1" w:rsidRDefault="009D3FF1" w:rsidP="009D3FF1">
            <w:pPr>
              <w:jc w:val="center"/>
              <w:rPr>
                <w:rFonts w:ascii="Arial" w:hAnsi="Arial" w:cs="Arial"/>
                <w:color w:val="000000"/>
                <w:sz w:val="20"/>
                <w:szCs w:val="20"/>
              </w:rPr>
            </w:pPr>
            <w:r>
              <w:rPr>
                <w:rFonts w:ascii="Arial" w:hAnsi="Arial" w:cs="Arial"/>
                <w:color w:val="000000"/>
                <w:sz w:val="20"/>
                <w:szCs w:val="20"/>
              </w:rPr>
              <w:t>66.94912</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33741A51"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Yes</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08226108"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29F12DF3" w14:textId="5AF3515E" w:rsidR="009D3FF1" w:rsidRDefault="009D3FF1" w:rsidP="009D3FF1">
            <w:pPr>
              <w:jc w:val="center"/>
              <w:rPr>
                <w:rFonts w:ascii="Arial" w:hAnsi="Arial" w:cs="Arial"/>
                <w:color w:val="000000"/>
                <w:sz w:val="20"/>
                <w:szCs w:val="20"/>
              </w:rPr>
            </w:pPr>
            <w:r>
              <w:rPr>
                <w:rFonts w:ascii="Arial" w:hAnsi="Arial" w:cs="Arial"/>
                <w:color w:val="000000"/>
                <w:sz w:val="20"/>
                <w:szCs w:val="20"/>
              </w:rPr>
              <w:t>53.55930</w:t>
            </w:r>
          </w:p>
        </w:tc>
      </w:tr>
      <w:tr w:rsidR="009D3FF1" w14:paraId="76A74A81" w14:textId="77777777" w:rsidTr="00CF199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582F0167"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1E55A91B"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Dividend</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57453EBC" w14:textId="763ABEEC" w:rsidR="009D3FF1" w:rsidRDefault="009D3FF1" w:rsidP="009D3FF1">
            <w:pPr>
              <w:jc w:val="center"/>
              <w:rPr>
                <w:rFonts w:ascii="Arial" w:hAnsi="Arial" w:cs="Arial"/>
                <w:color w:val="000000"/>
                <w:sz w:val="20"/>
                <w:szCs w:val="20"/>
              </w:rPr>
            </w:pPr>
            <w:r>
              <w:rPr>
                <w:rFonts w:ascii="Arial" w:hAnsi="Arial" w:cs="Arial"/>
                <w:color w:val="000000"/>
                <w:sz w:val="20"/>
                <w:szCs w:val="20"/>
              </w:rPr>
              <w:t>Foreign Dividend</w:t>
            </w:r>
            <w:r w:rsidRPr="00C14CCB">
              <w:rPr>
                <w:rFonts w:ascii="Arial" w:hAnsi="Arial" w:cs="Arial"/>
                <w:color w:val="000000"/>
                <w:sz w:val="20"/>
                <w:szCs w:val="20"/>
                <w:vertAlign w:val="superscript"/>
              </w:rPr>
              <w:t>1</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1684888B" w14:textId="7E30AB03" w:rsidR="009D3FF1" w:rsidRDefault="009D3FF1" w:rsidP="009D3FF1">
            <w:pPr>
              <w:jc w:val="center"/>
              <w:rPr>
                <w:rFonts w:ascii="Arial" w:hAnsi="Arial" w:cs="Arial"/>
                <w:color w:val="000000"/>
                <w:sz w:val="20"/>
                <w:szCs w:val="20"/>
              </w:rPr>
            </w:pPr>
            <w:r>
              <w:rPr>
                <w:rFonts w:ascii="Arial" w:hAnsi="Arial" w:cs="Arial"/>
                <w:color w:val="000000"/>
                <w:sz w:val="20"/>
                <w:szCs w:val="20"/>
              </w:rPr>
              <w:t>72.45941</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7576F297"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Yes</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6F45909A"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5AC946A0" w14:textId="6F69C63D" w:rsidR="009D3FF1" w:rsidRDefault="009D3FF1" w:rsidP="009D3FF1">
            <w:pPr>
              <w:jc w:val="center"/>
              <w:rPr>
                <w:rFonts w:ascii="Arial" w:hAnsi="Arial" w:cs="Arial"/>
                <w:color w:val="000000"/>
                <w:sz w:val="20"/>
                <w:szCs w:val="20"/>
              </w:rPr>
            </w:pPr>
            <w:r>
              <w:rPr>
                <w:rFonts w:ascii="Arial" w:hAnsi="Arial" w:cs="Arial"/>
                <w:color w:val="000000"/>
                <w:sz w:val="20"/>
                <w:szCs w:val="20"/>
              </w:rPr>
              <w:t>57.96753</w:t>
            </w:r>
          </w:p>
        </w:tc>
      </w:tr>
      <w:tr w:rsidR="00477073" w14:paraId="049CBD55" w14:textId="77777777" w:rsidTr="00CF199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69F27CF5" w14:textId="77777777" w:rsidR="00477073" w:rsidRDefault="00477073" w:rsidP="00477073">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16B0AE4E" w14:textId="77777777" w:rsidR="00477073" w:rsidRDefault="00477073" w:rsidP="00477073">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bottom"/>
            <w:hideMark/>
          </w:tcPr>
          <w:p w14:paraId="131B9E03" w14:textId="77777777" w:rsidR="00477073" w:rsidRDefault="00477073" w:rsidP="00477073">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CCC0DA"/>
            <w:noWrap/>
            <w:tcMar>
              <w:top w:w="16" w:type="dxa"/>
              <w:left w:w="16" w:type="dxa"/>
              <w:bottom w:w="0" w:type="dxa"/>
              <w:right w:w="16" w:type="dxa"/>
            </w:tcMar>
            <w:vAlign w:val="center"/>
            <w:hideMark/>
          </w:tcPr>
          <w:p w14:paraId="25898AFE" w14:textId="3E18EF3F" w:rsidR="00477073" w:rsidRPr="009D3FF1" w:rsidRDefault="009D3FF1" w:rsidP="009D3FF1">
            <w:pPr>
              <w:jc w:val="center"/>
              <w:rPr>
                <w:rFonts w:ascii="Arial" w:hAnsi="Arial" w:cs="Arial"/>
                <w:b/>
                <w:bCs/>
                <w:color w:val="000000"/>
                <w:sz w:val="20"/>
                <w:szCs w:val="20"/>
                <w:lang w:val="en-US"/>
              </w:rPr>
            </w:pPr>
            <w:r>
              <w:rPr>
                <w:rFonts w:ascii="Arial" w:hAnsi="Arial" w:cs="Arial"/>
                <w:b/>
                <w:bCs/>
                <w:color w:val="000000"/>
                <w:sz w:val="20"/>
                <w:szCs w:val="20"/>
              </w:rPr>
              <w:t>139.94141</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28A60B11" w14:textId="77777777" w:rsidR="00477073" w:rsidRDefault="00477073" w:rsidP="00477073">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05034805" w14:textId="77777777" w:rsidR="00477073" w:rsidRDefault="00477073" w:rsidP="00477073">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000000" w:fill="CCC0DA"/>
            <w:noWrap/>
            <w:tcMar>
              <w:top w:w="16" w:type="dxa"/>
              <w:left w:w="16" w:type="dxa"/>
              <w:bottom w:w="0" w:type="dxa"/>
              <w:right w:w="16" w:type="dxa"/>
            </w:tcMar>
            <w:vAlign w:val="center"/>
            <w:hideMark/>
          </w:tcPr>
          <w:p w14:paraId="69EEAE2C" w14:textId="018BF68F" w:rsidR="00477073" w:rsidRPr="009D3FF1" w:rsidRDefault="009D3FF1" w:rsidP="009D3FF1">
            <w:pPr>
              <w:jc w:val="center"/>
              <w:rPr>
                <w:rFonts w:ascii="Arial" w:hAnsi="Arial" w:cs="Arial"/>
                <w:b/>
                <w:bCs/>
                <w:color w:val="000000"/>
                <w:sz w:val="20"/>
                <w:szCs w:val="20"/>
                <w:lang w:val="en-US"/>
              </w:rPr>
            </w:pPr>
            <w:r>
              <w:rPr>
                <w:rFonts w:ascii="Arial" w:hAnsi="Arial" w:cs="Arial"/>
                <w:b/>
                <w:bCs/>
                <w:color w:val="000000"/>
                <w:sz w:val="20"/>
                <w:szCs w:val="20"/>
              </w:rPr>
              <w:t>112.05971</w:t>
            </w:r>
          </w:p>
        </w:tc>
      </w:tr>
    </w:tbl>
    <w:p w14:paraId="0C181636" w14:textId="77777777" w:rsidR="00CF1999" w:rsidRDefault="00F121BB" w:rsidP="006A43F6">
      <w:pPr>
        <w:spacing w:before="240" w:after="240"/>
        <w:jc w:val="both"/>
        <w:rPr>
          <w:rFonts w:ascii="Arial" w:hAnsi="Arial" w:cs="Arial"/>
          <w:sz w:val="20"/>
          <w:szCs w:val="20"/>
          <w:lang w:eastAsia="en-GB"/>
        </w:rPr>
      </w:pPr>
      <w:r>
        <w:rPr>
          <w:rFonts w:ascii="Arial" w:hAnsi="Arial" w:cs="Arial"/>
          <w:sz w:val="20"/>
          <w:szCs w:val="20"/>
          <w:lang w:eastAsia="en-GB"/>
        </w:rPr>
        <w:t>Fu</w:t>
      </w:r>
      <w:r w:rsidR="00CF1999">
        <w:rPr>
          <w:rFonts w:ascii="Arial" w:hAnsi="Arial" w:cs="Arial"/>
          <w:sz w:val="20"/>
          <w:szCs w:val="20"/>
          <w:lang w:eastAsia="en-GB"/>
        </w:rPr>
        <w:t>rther details are listed below:</w:t>
      </w:r>
    </w:p>
    <w:p w14:paraId="1318CF2A" w14:textId="46BB4B6F" w:rsidR="00F121BB" w:rsidRDefault="00C14CCB" w:rsidP="006A43F6">
      <w:pPr>
        <w:spacing w:before="240" w:after="240"/>
        <w:jc w:val="both"/>
        <w:rPr>
          <w:rFonts w:ascii="Arial" w:hAnsi="Arial" w:cs="Arial"/>
          <w:sz w:val="20"/>
          <w:szCs w:val="20"/>
          <w:lang w:eastAsia="en-GB"/>
        </w:rPr>
      </w:pPr>
      <w:r w:rsidRPr="00C14CCB">
        <w:rPr>
          <w:rFonts w:ascii="Arial" w:hAnsi="Arial" w:cs="Arial"/>
          <w:sz w:val="20"/>
          <w:szCs w:val="20"/>
          <w:vertAlign w:val="superscript"/>
          <w:lang w:eastAsia="en-GB"/>
        </w:rPr>
        <w:t>1</w:t>
      </w:r>
      <w:r w:rsidR="00F121BB">
        <w:rPr>
          <w:rFonts w:ascii="Arial" w:hAnsi="Arial" w:cs="Arial"/>
          <w:sz w:val="20"/>
          <w:szCs w:val="20"/>
          <w:lang w:eastAsia="en-GB"/>
        </w:rPr>
        <w:t>Source of foreign taxable dividends:</w:t>
      </w:r>
    </w:p>
    <w:tbl>
      <w:tblPr>
        <w:tblW w:w="5279" w:type="dxa"/>
        <w:tblInd w:w="103" w:type="dxa"/>
        <w:tblLook w:val="04A0" w:firstRow="1" w:lastRow="0" w:firstColumn="1" w:lastColumn="0" w:noHBand="0" w:noVBand="1"/>
      </w:tblPr>
      <w:tblGrid>
        <w:gridCol w:w="3691"/>
        <w:gridCol w:w="1588"/>
      </w:tblGrid>
      <w:tr w:rsidR="00402336" w:rsidRPr="00F121BB" w14:paraId="710E4BF0" w14:textId="77777777" w:rsidTr="006174CC">
        <w:trPr>
          <w:trHeight w:val="255"/>
        </w:trPr>
        <w:tc>
          <w:tcPr>
            <w:tcW w:w="3691" w:type="dxa"/>
            <w:tcBorders>
              <w:top w:val="single" w:sz="4" w:space="0" w:color="auto"/>
              <w:left w:val="single" w:sz="4" w:space="0" w:color="auto"/>
              <w:bottom w:val="single" w:sz="4" w:space="0" w:color="auto"/>
              <w:right w:val="single" w:sz="4" w:space="0" w:color="auto"/>
            </w:tcBorders>
            <w:shd w:val="clear" w:color="000000" w:fill="FFFFFF"/>
            <w:vAlign w:val="bottom"/>
          </w:tcPr>
          <w:p w14:paraId="788CE024" w14:textId="1EF2EBB6" w:rsidR="00402336" w:rsidRDefault="009D3FF1" w:rsidP="00F121BB">
            <w:pPr>
              <w:rPr>
                <w:rFonts w:ascii="Arial" w:hAnsi="Arial" w:cs="Arial"/>
                <w:b/>
                <w:bCs/>
                <w:color w:val="000000"/>
                <w:sz w:val="20"/>
                <w:szCs w:val="20"/>
                <w:lang w:val="en-US"/>
              </w:rPr>
            </w:pPr>
            <w:r w:rsidRPr="009D3FF1">
              <w:rPr>
                <w:rFonts w:ascii="Arial" w:hAnsi="Arial" w:cs="Arial"/>
                <w:b/>
                <w:bCs/>
                <w:color w:val="000000"/>
                <w:sz w:val="20"/>
                <w:szCs w:val="20"/>
                <w:lang w:val="en-US"/>
              </w:rPr>
              <w:t>Australia</w:t>
            </w:r>
          </w:p>
        </w:tc>
        <w:tc>
          <w:tcPr>
            <w:tcW w:w="1588" w:type="dxa"/>
            <w:tcBorders>
              <w:top w:val="single" w:sz="4" w:space="0" w:color="auto"/>
              <w:left w:val="nil"/>
              <w:bottom w:val="single" w:sz="4" w:space="0" w:color="auto"/>
              <w:right w:val="single" w:sz="4" w:space="0" w:color="000000"/>
            </w:tcBorders>
            <w:shd w:val="clear" w:color="000000" w:fill="FFFFFF"/>
            <w:vAlign w:val="bottom"/>
          </w:tcPr>
          <w:p w14:paraId="4F7FB34C" w14:textId="1F365B0D" w:rsidR="00402336" w:rsidRDefault="009D3FF1" w:rsidP="00E31539">
            <w:pPr>
              <w:jc w:val="right"/>
              <w:rPr>
                <w:rFonts w:ascii="Arial" w:hAnsi="Arial" w:cs="Arial"/>
                <w:color w:val="000000"/>
                <w:sz w:val="20"/>
                <w:szCs w:val="20"/>
                <w:lang w:val="en-US"/>
              </w:rPr>
            </w:pPr>
            <w:r w:rsidRPr="009D3FF1">
              <w:rPr>
                <w:rFonts w:ascii="Arial" w:hAnsi="Arial" w:cs="Arial"/>
                <w:color w:val="000000"/>
                <w:sz w:val="20"/>
                <w:szCs w:val="20"/>
                <w:lang w:val="en-US"/>
              </w:rPr>
              <w:t>72%</w:t>
            </w:r>
          </w:p>
        </w:tc>
      </w:tr>
      <w:tr w:rsidR="009D3FF1" w:rsidRPr="00F121BB" w14:paraId="15EB69A3" w14:textId="77777777" w:rsidTr="006174CC">
        <w:trPr>
          <w:trHeight w:val="255"/>
        </w:trPr>
        <w:tc>
          <w:tcPr>
            <w:tcW w:w="3691" w:type="dxa"/>
            <w:tcBorders>
              <w:top w:val="single" w:sz="4" w:space="0" w:color="auto"/>
              <w:left w:val="single" w:sz="4" w:space="0" w:color="auto"/>
              <w:bottom w:val="single" w:sz="4" w:space="0" w:color="auto"/>
              <w:right w:val="single" w:sz="4" w:space="0" w:color="auto"/>
            </w:tcBorders>
            <w:shd w:val="clear" w:color="000000" w:fill="FFFFFF"/>
            <w:vAlign w:val="bottom"/>
          </w:tcPr>
          <w:p w14:paraId="2D59610D" w14:textId="7CA089BB" w:rsidR="009D3FF1" w:rsidRDefault="009D3FF1" w:rsidP="009D3FF1">
            <w:pPr>
              <w:rPr>
                <w:rFonts w:ascii="Arial" w:hAnsi="Arial" w:cs="Arial"/>
                <w:b/>
                <w:bCs/>
                <w:color w:val="000000"/>
                <w:sz w:val="20"/>
                <w:szCs w:val="20"/>
                <w:lang w:val="en-US"/>
              </w:rPr>
            </w:pPr>
            <w:r>
              <w:rPr>
                <w:rFonts w:ascii="Arial" w:hAnsi="Arial" w:cs="Arial"/>
                <w:b/>
                <w:bCs/>
                <w:color w:val="000000"/>
                <w:sz w:val="20"/>
                <w:szCs w:val="20"/>
                <w:lang w:val="en-US"/>
              </w:rPr>
              <w:t>United Kingdom</w:t>
            </w:r>
          </w:p>
        </w:tc>
        <w:tc>
          <w:tcPr>
            <w:tcW w:w="1588" w:type="dxa"/>
            <w:tcBorders>
              <w:top w:val="single" w:sz="4" w:space="0" w:color="auto"/>
              <w:left w:val="nil"/>
              <w:bottom w:val="single" w:sz="4" w:space="0" w:color="auto"/>
              <w:right w:val="single" w:sz="4" w:space="0" w:color="000000"/>
            </w:tcBorders>
            <w:shd w:val="clear" w:color="000000" w:fill="FFFFFF"/>
            <w:vAlign w:val="bottom"/>
          </w:tcPr>
          <w:p w14:paraId="58ECF7CD" w14:textId="35D0D135" w:rsidR="009D3FF1" w:rsidRDefault="009D3FF1" w:rsidP="009D3FF1">
            <w:pPr>
              <w:jc w:val="right"/>
              <w:rPr>
                <w:rFonts w:ascii="Arial" w:hAnsi="Arial" w:cs="Arial"/>
                <w:color w:val="000000"/>
                <w:sz w:val="20"/>
                <w:szCs w:val="20"/>
                <w:lang w:val="en-US"/>
              </w:rPr>
            </w:pPr>
            <w:r w:rsidRPr="009D3FF1">
              <w:rPr>
                <w:rFonts w:ascii="Arial" w:hAnsi="Arial" w:cs="Arial"/>
                <w:color w:val="000000"/>
                <w:sz w:val="20"/>
                <w:szCs w:val="20"/>
                <w:lang w:val="en-US"/>
              </w:rPr>
              <w:t>25%</w:t>
            </w:r>
          </w:p>
        </w:tc>
      </w:tr>
      <w:tr w:rsidR="009D3FF1" w:rsidRPr="00F121BB" w14:paraId="3BCA8B00" w14:textId="77777777" w:rsidTr="006174CC">
        <w:trPr>
          <w:trHeight w:val="255"/>
        </w:trPr>
        <w:tc>
          <w:tcPr>
            <w:tcW w:w="3691" w:type="dxa"/>
            <w:tcBorders>
              <w:top w:val="single" w:sz="4" w:space="0" w:color="auto"/>
              <w:left w:val="single" w:sz="4" w:space="0" w:color="auto"/>
              <w:bottom w:val="single" w:sz="4" w:space="0" w:color="auto"/>
              <w:right w:val="single" w:sz="4" w:space="0" w:color="auto"/>
            </w:tcBorders>
            <w:shd w:val="clear" w:color="000000" w:fill="FFFFFF"/>
            <w:vAlign w:val="bottom"/>
          </w:tcPr>
          <w:p w14:paraId="6FCAAACF" w14:textId="17666896" w:rsidR="009D3FF1" w:rsidRDefault="009D3FF1" w:rsidP="00F121BB">
            <w:pPr>
              <w:rPr>
                <w:rFonts w:ascii="Arial" w:hAnsi="Arial" w:cs="Arial"/>
                <w:b/>
                <w:bCs/>
                <w:color w:val="000000"/>
                <w:sz w:val="20"/>
                <w:szCs w:val="20"/>
                <w:lang w:val="en-US"/>
              </w:rPr>
            </w:pPr>
            <w:r w:rsidRPr="009D3FF1">
              <w:rPr>
                <w:rFonts w:ascii="Arial" w:hAnsi="Arial" w:cs="Arial"/>
                <w:b/>
                <w:bCs/>
                <w:color w:val="000000"/>
                <w:sz w:val="20"/>
                <w:szCs w:val="20"/>
                <w:lang w:val="en-US"/>
              </w:rPr>
              <w:t>Netherlands</w:t>
            </w:r>
          </w:p>
        </w:tc>
        <w:tc>
          <w:tcPr>
            <w:tcW w:w="1588" w:type="dxa"/>
            <w:tcBorders>
              <w:top w:val="single" w:sz="4" w:space="0" w:color="auto"/>
              <w:left w:val="nil"/>
              <w:bottom w:val="single" w:sz="4" w:space="0" w:color="auto"/>
              <w:right w:val="single" w:sz="4" w:space="0" w:color="000000"/>
            </w:tcBorders>
            <w:shd w:val="clear" w:color="000000" w:fill="FFFFFF"/>
            <w:vAlign w:val="bottom"/>
          </w:tcPr>
          <w:p w14:paraId="4D07B57E" w14:textId="6B9FC240" w:rsidR="009D3FF1" w:rsidRDefault="009D3FF1" w:rsidP="00E31539">
            <w:pPr>
              <w:jc w:val="right"/>
              <w:rPr>
                <w:rFonts w:ascii="Arial" w:hAnsi="Arial" w:cs="Arial"/>
                <w:color w:val="000000"/>
                <w:sz w:val="20"/>
                <w:szCs w:val="20"/>
                <w:lang w:val="en-US"/>
              </w:rPr>
            </w:pPr>
            <w:r w:rsidRPr="009D3FF1">
              <w:rPr>
                <w:rFonts w:ascii="Arial" w:hAnsi="Arial" w:cs="Arial"/>
                <w:color w:val="000000"/>
                <w:sz w:val="20"/>
                <w:szCs w:val="20"/>
                <w:lang w:val="en-US"/>
              </w:rPr>
              <w:t>3%</w:t>
            </w:r>
          </w:p>
        </w:tc>
      </w:tr>
    </w:tbl>
    <w:p w14:paraId="363D0E8F" w14:textId="793EA7A6" w:rsidR="007C3A7D" w:rsidRDefault="007C3A7D" w:rsidP="006A43F6">
      <w:pPr>
        <w:spacing w:before="240" w:after="240"/>
        <w:jc w:val="both"/>
        <w:rPr>
          <w:rFonts w:ascii="Arial" w:hAnsi="Arial" w:cs="Arial"/>
          <w:sz w:val="20"/>
          <w:szCs w:val="20"/>
          <w:lang w:eastAsia="en-GB"/>
        </w:rPr>
      </w:pPr>
      <w:r w:rsidRPr="007C3A7D">
        <w:rPr>
          <w:rFonts w:ascii="Arial" w:hAnsi="Arial" w:cs="Arial"/>
          <w:sz w:val="20"/>
          <w:szCs w:val="20"/>
          <w:lang w:eastAsia="en-GB"/>
        </w:rPr>
        <w:t xml:space="preserve">Notice is hereby given that the following dates are of importance in regard to the distribution by the above ETF for the quarter ended </w:t>
      </w:r>
      <w:r w:rsidR="008C23BA">
        <w:rPr>
          <w:rFonts w:ascii="Arial" w:hAnsi="Arial" w:cs="Arial"/>
          <w:sz w:val="20"/>
          <w:szCs w:val="20"/>
          <w:lang w:eastAsia="en-GB"/>
        </w:rPr>
        <w:t>3</w:t>
      </w:r>
      <w:r w:rsidR="00477073">
        <w:rPr>
          <w:rFonts w:ascii="Arial" w:hAnsi="Arial" w:cs="Arial"/>
          <w:sz w:val="20"/>
          <w:szCs w:val="20"/>
          <w:lang w:eastAsia="en-GB"/>
        </w:rPr>
        <w:t>1</w:t>
      </w:r>
      <w:r w:rsidR="008C23BA">
        <w:rPr>
          <w:rFonts w:ascii="Arial" w:hAnsi="Arial" w:cs="Arial"/>
          <w:sz w:val="20"/>
          <w:szCs w:val="20"/>
          <w:lang w:eastAsia="en-GB"/>
        </w:rPr>
        <w:t xml:space="preserve"> </w:t>
      </w:r>
      <w:r w:rsidR="005633F1">
        <w:rPr>
          <w:rFonts w:ascii="Arial" w:hAnsi="Arial" w:cs="Arial"/>
          <w:sz w:val="20"/>
          <w:szCs w:val="20"/>
          <w:lang w:eastAsia="en-GB"/>
        </w:rPr>
        <w:t xml:space="preserve">March </w:t>
      </w:r>
      <w:r w:rsidR="00402336">
        <w:rPr>
          <w:rFonts w:ascii="Arial" w:hAnsi="Arial" w:cs="Arial"/>
          <w:sz w:val="20"/>
          <w:szCs w:val="20"/>
          <w:lang w:eastAsia="en-GB"/>
        </w:rPr>
        <w:t>202</w:t>
      </w:r>
      <w:r w:rsidR="005633F1">
        <w:rPr>
          <w:rFonts w:ascii="Arial" w:hAnsi="Arial" w:cs="Arial"/>
          <w:sz w:val="20"/>
          <w:szCs w:val="20"/>
          <w:lang w:eastAsia="en-GB"/>
        </w:rPr>
        <w:t>2</w:t>
      </w:r>
      <w:r w:rsidRPr="007C3A7D">
        <w:rPr>
          <w:rFonts w:ascii="Arial" w:hAnsi="Arial" w:cs="Arial"/>
          <w:sz w:val="20"/>
          <w:szCs w:val="20"/>
          <w:lang w:eastAsia="en-GB"/>
        </w:rPr>
        <w:t xml:space="preserve">: </w:t>
      </w:r>
    </w:p>
    <w:tbl>
      <w:tblPr>
        <w:tblW w:w="7891" w:type="dxa"/>
        <w:tblInd w:w="103" w:type="dxa"/>
        <w:tblLook w:val="04A0" w:firstRow="1" w:lastRow="0" w:firstColumn="1" w:lastColumn="0" w:noHBand="0" w:noVBand="1"/>
      </w:tblPr>
      <w:tblGrid>
        <w:gridCol w:w="3691"/>
        <w:gridCol w:w="4200"/>
      </w:tblGrid>
      <w:tr w:rsidR="00402336" w:rsidRPr="007C3A7D" w14:paraId="0C0521AF"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000000" w:fill="CCC0D9"/>
            <w:vAlign w:val="bottom"/>
            <w:hideMark/>
          </w:tcPr>
          <w:p w14:paraId="5F6445A9"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Declaration/ Finalisation date</w:t>
            </w:r>
          </w:p>
        </w:tc>
        <w:tc>
          <w:tcPr>
            <w:tcW w:w="4200" w:type="dxa"/>
            <w:tcBorders>
              <w:top w:val="single" w:sz="4" w:space="0" w:color="auto"/>
              <w:left w:val="nil"/>
              <w:bottom w:val="single" w:sz="4" w:space="0" w:color="auto"/>
              <w:right w:val="single" w:sz="4" w:space="0" w:color="auto"/>
            </w:tcBorders>
            <w:shd w:val="clear" w:color="000000" w:fill="CCC0D9"/>
            <w:hideMark/>
          </w:tcPr>
          <w:p w14:paraId="24D149B3" w14:textId="45293B3B" w:rsidR="00402336" w:rsidRPr="00C06397" w:rsidRDefault="009D3FF1" w:rsidP="008E45AA">
            <w:pPr>
              <w:rPr>
                <w:rFonts w:ascii="Arial" w:hAnsi="Arial" w:cs="Arial"/>
                <w:color w:val="000000"/>
                <w:sz w:val="20"/>
                <w:szCs w:val="20"/>
                <w:lang w:val="en-ZA"/>
              </w:rPr>
            </w:pPr>
            <w:r>
              <w:rPr>
                <w:rFonts w:ascii="Arial" w:hAnsi="Arial" w:cs="Arial"/>
                <w:bCs/>
                <w:sz w:val="20"/>
                <w:szCs w:val="20"/>
                <w:lang w:eastAsia="en-GB"/>
              </w:rPr>
              <w:t>Thursday, 14 April 2022</w:t>
            </w:r>
          </w:p>
        </w:tc>
      </w:tr>
      <w:tr w:rsidR="00402336" w:rsidRPr="007C3A7D" w14:paraId="5AD2F923"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E9FF41"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Last day to trade</w:t>
            </w:r>
          </w:p>
        </w:tc>
        <w:tc>
          <w:tcPr>
            <w:tcW w:w="4200" w:type="dxa"/>
            <w:tcBorders>
              <w:top w:val="single" w:sz="4" w:space="0" w:color="auto"/>
              <w:left w:val="nil"/>
              <w:bottom w:val="single" w:sz="4" w:space="0" w:color="auto"/>
              <w:right w:val="single" w:sz="4" w:space="0" w:color="auto"/>
            </w:tcBorders>
            <w:shd w:val="clear" w:color="auto" w:fill="auto"/>
            <w:hideMark/>
          </w:tcPr>
          <w:p w14:paraId="1AF241CC" w14:textId="61709B7E" w:rsidR="00402336" w:rsidRPr="00C06397" w:rsidRDefault="009D3FF1" w:rsidP="008E45AA">
            <w:pPr>
              <w:rPr>
                <w:rFonts w:ascii="Arial" w:hAnsi="Arial" w:cs="Arial"/>
                <w:color w:val="000000"/>
                <w:sz w:val="20"/>
                <w:szCs w:val="20"/>
                <w:lang w:val="en-ZA"/>
              </w:rPr>
            </w:pPr>
            <w:r>
              <w:rPr>
                <w:rFonts w:ascii="Arial" w:hAnsi="Arial" w:cs="Arial"/>
                <w:bCs/>
                <w:sz w:val="20"/>
                <w:szCs w:val="20"/>
                <w:lang w:eastAsia="en-GB"/>
              </w:rPr>
              <w:t>Monday, 25 April 2022</w:t>
            </w:r>
          </w:p>
        </w:tc>
      </w:tr>
      <w:tr w:rsidR="00402336" w:rsidRPr="007C3A7D" w14:paraId="07AD2591"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C9F3C"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Ex distribution</w:t>
            </w:r>
          </w:p>
        </w:tc>
        <w:tc>
          <w:tcPr>
            <w:tcW w:w="4200" w:type="dxa"/>
            <w:tcBorders>
              <w:top w:val="single" w:sz="4" w:space="0" w:color="auto"/>
              <w:left w:val="nil"/>
              <w:bottom w:val="single" w:sz="4" w:space="0" w:color="auto"/>
              <w:right w:val="single" w:sz="4" w:space="0" w:color="auto"/>
            </w:tcBorders>
            <w:shd w:val="clear" w:color="auto" w:fill="auto"/>
            <w:hideMark/>
          </w:tcPr>
          <w:p w14:paraId="7B65B3BC" w14:textId="702C5D38" w:rsidR="00402336" w:rsidRPr="00C06397" w:rsidRDefault="009D3FF1" w:rsidP="008E45AA">
            <w:pPr>
              <w:rPr>
                <w:rFonts w:ascii="Arial" w:hAnsi="Arial" w:cs="Arial"/>
                <w:color w:val="000000"/>
                <w:sz w:val="20"/>
                <w:szCs w:val="20"/>
                <w:lang w:val="en-ZA"/>
              </w:rPr>
            </w:pPr>
            <w:r>
              <w:rPr>
                <w:rFonts w:ascii="Arial" w:hAnsi="Arial" w:cs="Arial"/>
                <w:bCs/>
                <w:sz w:val="20"/>
                <w:szCs w:val="20"/>
                <w:lang w:eastAsia="en-GB"/>
              </w:rPr>
              <w:t>Tuesday, 26 April 2022</w:t>
            </w:r>
          </w:p>
        </w:tc>
      </w:tr>
      <w:tr w:rsidR="00402336" w:rsidRPr="007C3A7D" w14:paraId="481F6147"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6DF4E"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Record date</w:t>
            </w:r>
          </w:p>
        </w:tc>
        <w:tc>
          <w:tcPr>
            <w:tcW w:w="4200" w:type="dxa"/>
            <w:tcBorders>
              <w:top w:val="single" w:sz="4" w:space="0" w:color="auto"/>
              <w:left w:val="nil"/>
              <w:bottom w:val="single" w:sz="4" w:space="0" w:color="auto"/>
              <w:right w:val="single" w:sz="4" w:space="0" w:color="auto"/>
            </w:tcBorders>
            <w:shd w:val="clear" w:color="auto" w:fill="auto"/>
            <w:hideMark/>
          </w:tcPr>
          <w:p w14:paraId="09316C96" w14:textId="33259530" w:rsidR="00402336" w:rsidRPr="00C06397" w:rsidRDefault="009D3FF1" w:rsidP="008E45AA">
            <w:pPr>
              <w:rPr>
                <w:rFonts w:ascii="Arial" w:hAnsi="Arial" w:cs="Arial"/>
                <w:color w:val="000000"/>
                <w:sz w:val="20"/>
                <w:szCs w:val="20"/>
                <w:lang w:val="en-ZA"/>
              </w:rPr>
            </w:pPr>
            <w:bookmarkStart w:id="0" w:name="OLE_LINK1"/>
            <w:r>
              <w:rPr>
                <w:rFonts w:ascii="Arial" w:hAnsi="Arial" w:cs="Arial"/>
                <w:bCs/>
                <w:sz w:val="20"/>
                <w:szCs w:val="20"/>
                <w:lang w:eastAsia="en-GB"/>
              </w:rPr>
              <w:t>Friday, 29 April 2022</w:t>
            </w:r>
            <w:bookmarkEnd w:id="0"/>
          </w:p>
        </w:tc>
      </w:tr>
      <w:tr w:rsidR="00402336" w:rsidRPr="007C3A7D" w14:paraId="4267B600"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3AFC4"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Payment date</w:t>
            </w:r>
          </w:p>
        </w:tc>
        <w:tc>
          <w:tcPr>
            <w:tcW w:w="4200" w:type="dxa"/>
            <w:tcBorders>
              <w:top w:val="single" w:sz="4" w:space="0" w:color="auto"/>
              <w:left w:val="nil"/>
              <w:bottom w:val="single" w:sz="4" w:space="0" w:color="auto"/>
              <w:right w:val="single" w:sz="4" w:space="0" w:color="auto"/>
            </w:tcBorders>
            <w:shd w:val="clear" w:color="auto" w:fill="auto"/>
            <w:hideMark/>
          </w:tcPr>
          <w:p w14:paraId="17DADD47" w14:textId="61E534B6" w:rsidR="00402336" w:rsidRPr="00C06397" w:rsidRDefault="009D3FF1" w:rsidP="008E45AA">
            <w:pPr>
              <w:rPr>
                <w:rFonts w:ascii="Arial" w:hAnsi="Arial" w:cs="Arial"/>
                <w:color w:val="000000"/>
                <w:sz w:val="20"/>
                <w:szCs w:val="20"/>
                <w:lang w:val="en-ZA"/>
              </w:rPr>
            </w:pPr>
            <w:r>
              <w:rPr>
                <w:rFonts w:ascii="Arial" w:hAnsi="Arial" w:cs="Arial"/>
                <w:bCs/>
                <w:sz w:val="20"/>
                <w:szCs w:val="20"/>
                <w:lang w:eastAsia="en-GB"/>
              </w:rPr>
              <w:t>Tuesday, 03 May 2022</w:t>
            </w:r>
          </w:p>
        </w:tc>
      </w:tr>
    </w:tbl>
    <w:p w14:paraId="1FBDE33C" w14:textId="77777777" w:rsidR="00F121BB" w:rsidRDefault="00F121BB" w:rsidP="008F30C0">
      <w:pPr>
        <w:spacing w:before="240" w:after="240"/>
        <w:rPr>
          <w:rFonts w:ascii="Arial" w:hAnsi="Arial" w:cs="Arial"/>
          <w:sz w:val="20"/>
          <w:szCs w:val="20"/>
          <w:lang w:eastAsia="en-GB"/>
        </w:rPr>
      </w:pPr>
    </w:p>
    <w:p w14:paraId="0A830D41" w14:textId="3CD2CCE0" w:rsidR="00402336" w:rsidRDefault="00CF1999" w:rsidP="008F30C0">
      <w:pPr>
        <w:spacing w:before="240" w:after="240"/>
        <w:rPr>
          <w:rFonts w:ascii="Arial" w:hAnsi="Arial" w:cs="Arial"/>
          <w:bCs/>
          <w:sz w:val="20"/>
          <w:szCs w:val="20"/>
          <w:lang w:val="en-ZA" w:eastAsia="en-GB"/>
        </w:rPr>
      </w:pPr>
      <w:r>
        <w:rPr>
          <w:rFonts w:ascii="Arial" w:hAnsi="Arial" w:cs="Arial"/>
          <w:bCs/>
          <w:sz w:val="20"/>
          <w:szCs w:val="20"/>
          <w:lang w:val="en-ZA" w:eastAsia="en-GB"/>
        </w:rPr>
        <w:t>T</w:t>
      </w:r>
      <w:r w:rsidRPr="00CF1999">
        <w:rPr>
          <w:rFonts w:ascii="Arial" w:hAnsi="Arial" w:cs="Arial"/>
          <w:bCs/>
          <w:sz w:val="20"/>
          <w:szCs w:val="20"/>
          <w:lang w:val="en-ZA" w:eastAsia="en-GB"/>
        </w:rPr>
        <w:t xml:space="preserve">he distribution will be paid on Monday, </w:t>
      </w:r>
      <w:r w:rsidR="009D3FF1">
        <w:rPr>
          <w:rFonts w:ascii="Arial" w:hAnsi="Arial" w:cs="Arial"/>
          <w:bCs/>
          <w:sz w:val="20"/>
          <w:szCs w:val="20"/>
          <w:lang w:val="en-ZA" w:eastAsia="en-GB"/>
        </w:rPr>
        <w:t>03</w:t>
      </w:r>
      <w:r w:rsidR="00200261" w:rsidRPr="00200261">
        <w:rPr>
          <w:rFonts w:ascii="Arial" w:hAnsi="Arial" w:cs="Arial"/>
          <w:bCs/>
          <w:sz w:val="20"/>
          <w:szCs w:val="20"/>
          <w:lang w:val="en-ZA" w:eastAsia="en-GB"/>
        </w:rPr>
        <w:t xml:space="preserve"> </w:t>
      </w:r>
      <w:r w:rsidR="009D3FF1">
        <w:rPr>
          <w:rFonts w:ascii="Arial" w:hAnsi="Arial" w:cs="Arial"/>
          <w:bCs/>
          <w:sz w:val="20"/>
          <w:szCs w:val="20"/>
          <w:lang w:val="en-ZA" w:eastAsia="en-GB"/>
        </w:rPr>
        <w:t>May</w:t>
      </w:r>
      <w:r w:rsidR="008C23BA" w:rsidRPr="00200261">
        <w:rPr>
          <w:rFonts w:ascii="Arial" w:hAnsi="Arial" w:cs="Arial"/>
          <w:bCs/>
          <w:sz w:val="20"/>
          <w:szCs w:val="20"/>
          <w:lang w:val="en-ZA" w:eastAsia="en-GB"/>
        </w:rPr>
        <w:t xml:space="preserve"> 202</w:t>
      </w:r>
      <w:r w:rsidR="00BD6196">
        <w:rPr>
          <w:rFonts w:ascii="Arial" w:hAnsi="Arial" w:cs="Arial"/>
          <w:bCs/>
          <w:sz w:val="20"/>
          <w:szCs w:val="20"/>
          <w:lang w:val="en-ZA" w:eastAsia="en-GB"/>
        </w:rPr>
        <w:t>2</w:t>
      </w:r>
      <w:r w:rsidRPr="00CF1999">
        <w:rPr>
          <w:rFonts w:ascii="Arial" w:hAnsi="Arial" w:cs="Arial"/>
          <w:bCs/>
          <w:sz w:val="20"/>
          <w:szCs w:val="20"/>
          <w:lang w:val="en-ZA" w:eastAsia="en-GB"/>
        </w:rPr>
        <w:t xml:space="preserve"> to all securities holders recorded on the register on Friday, </w:t>
      </w:r>
      <w:r w:rsidR="009D3FF1">
        <w:rPr>
          <w:rFonts w:ascii="Arial" w:hAnsi="Arial" w:cs="Arial"/>
          <w:bCs/>
          <w:sz w:val="20"/>
          <w:szCs w:val="20"/>
          <w:lang w:val="en-ZA" w:eastAsia="en-GB"/>
        </w:rPr>
        <w:t>29 April</w:t>
      </w:r>
      <w:r w:rsidR="00E01320">
        <w:rPr>
          <w:rFonts w:ascii="Arial" w:hAnsi="Arial" w:cs="Arial"/>
          <w:bCs/>
          <w:sz w:val="20"/>
          <w:szCs w:val="20"/>
          <w:lang w:val="en-ZA" w:eastAsia="en-GB"/>
        </w:rPr>
        <w:t xml:space="preserve"> 2022</w:t>
      </w:r>
      <w:r w:rsidRPr="00CF1999">
        <w:rPr>
          <w:rFonts w:ascii="Arial" w:hAnsi="Arial" w:cs="Arial"/>
          <w:bCs/>
          <w:sz w:val="20"/>
          <w:szCs w:val="20"/>
          <w:lang w:val="en-ZA" w:eastAsia="en-GB"/>
        </w:rPr>
        <w:t xml:space="preserve">. </w:t>
      </w:r>
    </w:p>
    <w:p w14:paraId="7E0A9200" w14:textId="6AEBF534" w:rsidR="009D3FF1" w:rsidRDefault="009D3FF1" w:rsidP="008F30C0">
      <w:pPr>
        <w:spacing w:before="240" w:after="240"/>
        <w:rPr>
          <w:rFonts w:ascii="Arial" w:hAnsi="Arial" w:cs="Arial"/>
          <w:bCs/>
          <w:sz w:val="20"/>
          <w:szCs w:val="20"/>
          <w:lang w:val="en-ZA" w:eastAsia="en-GB"/>
        </w:rPr>
      </w:pPr>
    </w:p>
    <w:p w14:paraId="792AB1B7" w14:textId="77777777" w:rsidR="009D3FF1" w:rsidRDefault="009D3FF1" w:rsidP="008F30C0">
      <w:pPr>
        <w:spacing w:before="240" w:after="240"/>
        <w:rPr>
          <w:rFonts w:ascii="Arial" w:hAnsi="Arial" w:cs="Arial"/>
          <w:bCs/>
          <w:sz w:val="20"/>
          <w:szCs w:val="20"/>
          <w:lang w:val="en-ZA" w:eastAsia="en-GB"/>
        </w:rPr>
      </w:pPr>
    </w:p>
    <w:p w14:paraId="2DBDE30A" w14:textId="77777777" w:rsidR="00502B2A" w:rsidRDefault="008F30C0" w:rsidP="008F30C0">
      <w:pPr>
        <w:spacing w:before="240" w:after="240"/>
        <w:rPr>
          <w:rFonts w:ascii="Arial" w:hAnsi="Arial" w:cs="Arial"/>
          <w:b/>
          <w:bCs/>
          <w:color w:val="000000"/>
          <w:sz w:val="20"/>
          <w:szCs w:val="20"/>
          <w:lang w:eastAsia="en-GB"/>
        </w:rPr>
      </w:pPr>
      <w:r w:rsidRPr="008F30C0">
        <w:rPr>
          <w:rFonts w:ascii="Arial" w:hAnsi="Arial" w:cs="Arial"/>
          <w:b/>
          <w:bCs/>
          <w:color w:val="000000"/>
          <w:sz w:val="20"/>
          <w:szCs w:val="20"/>
          <w:lang w:eastAsia="en-GB"/>
        </w:rPr>
        <w:lastRenderedPageBreak/>
        <w:t xml:space="preserve">EFFECT OF DIVIDEND WITHHOLDING TAX ("DWT") ON DISTRIBUTION AMOUNTS: </w:t>
      </w:r>
    </w:p>
    <w:p w14:paraId="68BBCBC0" w14:textId="77777777" w:rsidR="008F30C0" w:rsidRPr="008F30C0" w:rsidRDefault="008F63BC" w:rsidP="008F30C0">
      <w:pPr>
        <w:spacing w:before="240" w:after="240"/>
        <w:rPr>
          <w:rFonts w:ascii="Arial" w:hAnsi="Arial" w:cs="Arial"/>
          <w:b/>
          <w:bCs/>
          <w:color w:val="000000"/>
          <w:sz w:val="20"/>
          <w:szCs w:val="20"/>
          <w:lang w:eastAsia="en-GB"/>
        </w:rPr>
      </w:pPr>
      <w:r>
        <w:rPr>
          <w:rFonts w:ascii="Arial" w:hAnsi="Arial" w:cs="Arial"/>
          <w:sz w:val="20"/>
          <w:szCs w:val="20"/>
          <w:lang w:eastAsia="en-GB"/>
        </w:rPr>
        <w:t>With effect from 22 February 2018</w:t>
      </w:r>
      <w:r w:rsidR="008F30C0" w:rsidRPr="008F30C0">
        <w:rPr>
          <w:rFonts w:ascii="Arial" w:hAnsi="Arial" w:cs="Arial"/>
          <w:sz w:val="20"/>
          <w:szCs w:val="20"/>
          <w:lang w:eastAsia="en-GB"/>
        </w:rPr>
        <w:t>, all South African local and certain foreign dividends paid to investors are subjec</w:t>
      </w:r>
      <w:r w:rsidR="006F2407">
        <w:rPr>
          <w:rFonts w:ascii="Arial" w:hAnsi="Arial" w:cs="Arial"/>
          <w:sz w:val="20"/>
          <w:szCs w:val="20"/>
          <w:lang w:eastAsia="en-GB"/>
        </w:rPr>
        <w:t>t to DWT at a current rate of 20</w:t>
      </w:r>
      <w:r w:rsidR="008F30C0" w:rsidRPr="008F30C0">
        <w:rPr>
          <w:rFonts w:ascii="Arial" w:hAnsi="Arial" w:cs="Arial"/>
          <w:sz w:val="20"/>
          <w:szCs w:val="20"/>
          <w:lang w:eastAsia="en-GB"/>
        </w:rPr>
        <w:t>% except where an investor is exempt or qualifies for a reduced rate of DWT.</w:t>
      </w:r>
    </w:p>
    <w:p w14:paraId="07846BC8" w14:textId="77777777" w:rsidR="00C47648" w:rsidRDefault="008F30C0" w:rsidP="00C47648">
      <w:pPr>
        <w:spacing w:before="240" w:after="240"/>
        <w:rPr>
          <w:rFonts w:ascii="Arial" w:hAnsi="Arial" w:cs="Arial"/>
          <w:b/>
          <w:bCs/>
          <w:color w:val="000000"/>
          <w:sz w:val="20"/>
          <w:szCs w:val="20"/>
          <w:lang w:eastAsia="en-GB"/>
        </w:rPr>
      </w:pPr>
      <w:r w:rsidRPr="008F30C0">
        <w:rPr>
          <w:rFonts w:ascii="Arial" w:hAnsi="Arial" w:cs="Arial"/>
          <w:b/>
          <w:bCs/>
          <w:color w:val="000000"/>
          <w:sz w:val="20"/>
          <w:szCs w:val="20"/>
          <w:lang w:eastAsia="en-GB"/>
        </w:rPr>
        <w:t xml:space="preserve">EFFECT OF </w:t>
      </w:r>
      <w:r w:rsidR="00C47648">
        <w:rPr>
          <w:rFonts w:ascii="Arial" w:hAnsi="Arial" w:cs="Arial"/>
          <w:b/>
          <w:bCs/>
          <w:color w:val="000000"/>
          <w:sz w:val="20"/>
          <w:szCs w:val="20"/>
          <w:lang w:eastAsia="en-GB"/>
        </w:rPr>
        <w:t xml:space="preserve">INTEREST WITHHOLDING TAX (IWT) </w:t>
      </w:r>
      <w:r w:rsidR="00C47648" w:rsidRPr="008F30C0">
        <w:rPr>
          <w:rFonts w:ascii="Arial" w:hAnsi="Arial" w:cs="Arial"/>
          <w:b/>
          <w:bCs/>
          <w:color w:val="000000"/>
          <w:sz w:val="20"/>
          <w:szCs w:val="20"/>
          <w:lang w:eastAsia="en-GB"/>
        </w:rPr>
        <w:t>ON DISTRIBUTION AMOUNTS</w:t>
      </w:r>
      <w:r w:rsidR="00C47648">
        <w:rPr>
          <w:rFonts w:ascii="Arial" w:hAnsi="Arial" w:cs="Arial"/>
          <w:b/>
          <w:bCs/>
          <w:color w:val="000000"/>
          <w:sz w:val="20"/>
          <w:szCs w:val="20"/>
          <w:lang w:eastAsia="en-GB"/>
        </w:rPr>
        <w:t>:</w:t>
      </w:r>
    </w:p>
    <w:p w14:paraId="7E2781C3" w14:textId="77777777" w:rsidR="00C47648" w:rsidRPr="00C47648" w:rsidRDefault="00C47648" w:rsidP="00C47648">
      <w:pPr>
        <w:spacing w:before="240" w:after="240"/>
        <w:rPr>
          <w:rFonts w:ascii="Arial" w:hAnsi="Arial" w:cs="Arial"/>
          <w:b/>
          <w:bCs/>
          <w:color w:val="000000"/>
          <w:sz w:val="20"/>
          <w:szCs w:val="20"/>
          <w:lang w:eastAsia="en-GB"/>
        </w:rPr>
      </w:pPr>
      <w:r w:rsidRPr="00C47648">
        <w:rPr>
          <w:rFonts w:ascii="Arial" w:hAnsi="Arial" w:cs="Arial"/>
          <w:bCs/>
          <w:color w:val="000000"/>
          <w:sz w:val="20"/>
          <w:szCs w:val="20"/>
          <w:lang w:eastAsia="en-GB"/>
        </w:rPr>
        <w:t xml:space="preserve">Interest accruing from a South African source to a non-resident, excluding a controlled foreign company, will be subject to withholding tax at a rate of </w:t>
      </w:r>
      <w:r w:rsidR="00C83A44">
        <w:rPr>
          <w:rFonts w:ascii="Arial" w:hAnsi="Arial" w:cs="Arial"/>
          <w:bCs/>
          <w:color w:val="000000"/>
          <w:sz w:val="20"/>
          <w:szCs w:val="20"/>
          <w:lang w:eastAsia="en-GB"/>
        </w:rPr>
        <w:t>20</w:t>
      </w:r>
      <w:r w:rsidRPr="00C47648">
        <w:rPr>
          <w:rFonts w:ascii="Arial" w:hAnsi="Arial" w:cs="Arial"/>
          <w:bCs/>
          <w:color w:val="000000"/>
          <w:sz w:val="20"/>
          <w:szCs w:val="20"/>
          <w:lang w:eastAsia="en-GB"/>
        </w:rPr>
        <w:t>% on payment, except interest</w:t>
      </w:r>
      <w:r>
        <w:rPr>
          <w:rFonts w:ascii="Arial" w:hAnsi="Arial" w:cs="Arial"/>
          <w:bCs/>
          <w:color w:val="000000"/>
          <w:sz w:val="20"/>
          <w:szCs w:val="20"/>
          <w:lang w:eastAsia="en-GB"/>
        </w:rPr>
        <w:t>,</w:t>
      </w:r>
    </w:p>
    <w:p w14:paraId="4CAA1930"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xml:space="preserve">• arising on any Government debt instrument </w:t>
      </w:r>
    </w:p>
    <w:p w14:paraId="34953050"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xml:space="preserve">• arising on any listed debt instrument </w:t>
      </w:r>
    </w:p>
    <w:p w14:paraId="5A6B39CA"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arising on any debt owed by a bank or the South African Reserve Bank</w:t>
      </w:r>
    </w:p>
    <w:p w14:paraId="5E94D438"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xml:space="preserve">• arising from a bill of exchange or letter of credit where goods are imported into South Africa and where an authorized dealer has certified such on the instrument </w:t>
      </w:r>
    </w:p>
    <w:p w14:paraId="0E9E6062"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payable by a headquarter company</w:t>
      </w:r>
    </w:p>
    <w:p w14:paraId="6CE442A0"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accruing to a non-resident natural person who was physically present in South Africa for a period exceeding 183 days in aggregate, during that year, or carried on a business through a permanent establishment in South Africa</w:t>
      </w:r>
    </w:p>
    <w:p w14:paraId="0BDCE8B8" w14:textId="77777777" w:rsidR="00502B2A" w:rsidRDefault="00502B2A" w:rsidP="00C47648">
      <w:pPr>
        <w:rPr>
          <w:rFonts w:ascii="Arial" w:hAnsi="Arial" w:cs="Arial"/>
          <w:bCs/>
          <w:color w:val="000000"/>
          <w:sz w:val="20"/>
          <w:szCs w:val="20"/>
          <w:lang w:eastAsia="en-GB"/>
        </w:rPr>
      </w:pPr>
    </w:p>
    <w:p w14:paraId="34D8803C" w14:textId="77777777" w:rsidR="00C47648" w:rsidRDefault="00C47648" w:rsidP="00C47648">
      <w:pPr>
        <w:rPr>
          <w:rFonts w:ascii="Arial" w:hAnsi="Arial" w:cs="Arial"/>
          <w:b/>
          <w:bCs/>
          <w:color w:val="000000"/>
          <w:sz w:val="20"/>
          <w:szCs w:val="20"/>
          <w:u w:val="single"/>
          <w:lang w:eastAsia="en-GB"/>
        </w:rPr>
      </w:pPr>
      <w:r w:rsidRPr="00C47648">
        <w:rPr>
          <w:rFonts w:ascii="Arial" w:hAnsi="Arial" w:cs="Arial"/>
          <w:bCs/>
          <w:color w:val="000000"/>
          <w:sz w:val="20"/>
          <w:szCs w:val="20"/>
          <w:lang w:eastAsia="en-GB"/>
        </w:rPr>
        <w:t>Investors are advised that to the extent that the distribution amount comprise of any interest, it will not be subject to WTI by virtue of the fact that it is listed debt instruments and/or bank debt.</w:t>
      </w:r>
      <w:r w:rsidRPr="00C47648">
        <w:rPr>
          <w:rFonts w:ascii="Arial" w:hAnsi="Arial" w:cs="Arial"/>
          <w:b/>
          <w:bCs/>
          <w:color w:val="000000"/>
          <w:sz w:val="20"/>
          <w:szCs w:val="20"/>
          <w:u w:val="single"/>
          <w:lang w:eastAsia="en-GB"/>
        </w:rPr>
        <w:t xml:space="preserve"> </w:t>
      </w:r>
    </w:p>
    <w:p w14:paraId="70BC49C6" w14:textId="77777777" w:rsidR="006B5025" w:rsidRPr="006B5025" w:rsidRDefault="006B5025" w:rsidP="00C47648">
      <w:pPr>
        <w:rPr>
          <w:rFonts w:ascii="Arial" w:hAnsi="Arial" w:cs="Arial"/>
          <w:bCs/>
          <w:color w:val="000000"/>
          <w:sz w:val="20"/>
          <w:szCs w:val="20"/>
          <w:lang w:eastAsia="en-GB"/>
        </w:rPr>
      </w:pPr>
    </w:p>
    <w:p w14:paraId="026711D1" w14:textId="77777777" w:rsidR="006B5025" w:rsidRPr="006B5025" w:rsidRDefault="006B5025" w:rsidP="00C47648">
      <w:pPr>
        <w:rPr>
          <w:rFonts w:ascii="Arial" w:hAnsi="Arial" w:cs="Arial"/>
          <w:bCs/>
          <w:color w:val="000000"/>
          <w:sz w:val="20"/>
          <w:szCs w:val="20"/>
          <w:lang w:eastAsia="en-GB"/>
        </w:rPr>
      </w:pPr>
      <w:r w:rsidRPr="006B5025">
        <w:rPr>
          <w:rFonts w:ascii="Arial" w:hAnsi="Arial" w:cs="Arial"/>
          <w:bCs/>
          <w:color w:val="000000"/>
          <w:sz w:val="20"/>
          <w:szCs w:val="20"/>
          <w:lang w:eastAsia="en-GB"/>
        </w:rPr>
        <w:t>*Investors should seek advice from their tax advisor on whether the tax and rate shown is applicable to them.</w:t>
      </w:r>
    </w:p>
    <w:p w14:paraId="47232D28" w14:textId="77777777" w:rsidR="00DF615D" w:rsidRDefault="00DF615D" w:rsidP="00C47648">
      <w:pPr>
        <w:rPr>
          <w:rFonts w:ascii="Arial" w:hAnsi="Arial" w:cs="Arial"/>
          <w:b/>
          <w:bCs/>
          <w:color w:val="000000"/>
          <w:sz w:val="20"/>
          <w:szCs w:val="20"/>
          <w:u w:val="single"/>
          <w:lang w:eastAsia="en-GB"/>
        </w:rPr>
      </w:pPr>
    </w:p>
    <w:p w14:paraId="2B883426" w14:textId="77777777" w:rsidR="00DF615D" w:rsidRPr="00DF615D" w:rsidRDefault="00DF615D" w:rsidP="00DF615D">
      <w:pPr>
        <w:rPr>
          <w:rFonts w:ascii="Arial" w:hAnsi="Arial" w:cs="Arial"/>
          <w:bCs/>
          <w:color w:val="000000"/>
          <w:sz w:val="20"/>
          <w:szCs w:val="20"/>
          <w:lang w:eastAsia="en-GB"/>
        </w:rPr>
      </w:pPr>
      <w:r w:rsidRPr="00DF615D">
        <w:rPr>
          <w:rFonts w:ascii="Arial" w:hAnsi="Arial" w:cs="Arial"/>
          <w:bCs/>
          <w:color w:val="000000"/>
          <w:sz w:val="20"/>
          <w:szCs w:val="20"/>
          <w:lang w:eastAsia="en-GB"/>
        </w:rPr>
        <w:t>**</w:t>
      </w:r>
      <w:r w:rsidRPr="00DF615D">
        <w:t xml:space="preserve"> </w:t>
      </w:r>
      <w:r w:rsidRPr="00DF615D">
        <w:rPr>
          <w:rFonts w:ascii="Arial" w:hAnsi="Arial" w:cs="Arial"/>
          <w:bCs/>
          <w:color w:val="000000"/>
          <w:sz w:val="20"/>
          <w:szCs w:val="20"/>
          <w:lang w:eastAsia="en-GB"/>
        </w:rPr>
        <w:t xml:space="preserve">South African tax resident investors </w:t>
      </w:r>
    </w:p>
    <w:p w14:paraId="23454D67" w14:textId="77777777" w:rsidR="00DF615D" w:rsidRPr="00DF615D" w:rsidRDefault="00DF615D" w:rsidP="00DF615D">
      <w:p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The dividend distribution by a REIT received by South African tax residents must be included in their gross income and will not be exempt in terms of the ordinary dividend exemption in section 10(1)(k)(i) of the Income Tax Act No. 58 of 1962 (“the Act”) as a result of paragraph (aa) of the proviso thereto which provides that dividends distributed by a REIT are not exempt from income tax. </w:t>
      </w:r>
    </w:p>
    <w:p w14:paraId="34B739B7" w14:textId="77777777" w:rsidR="00DF615D" w:rsidRPr="00DF615D" w:rsidRDefault="00DF615D" w:rsidP="00DF615D">
      <w:pPr>
        <w:rPr>
          <w:rFonts w:ascii="Arial" w:hAnsi="Arial" w:cs="Arial"/>
          <w:bCs/>
          <w:color w:val="000000"/>
          <w:sz w:val="20"/>
          <w:szCs w:val="20"/>
          <w:lang w:eastAsia="en-GB"/>
        </w:rPr>
      </w:pPr>
    </w:p>
    <w:p w14:paraId="742DFE64" w14:textId="77777777" w:rsidR="00DF615D" w:rsidRPr="00DF615D" w:rsidRDefault="00DF615D" w:rsidP="00DF615D">
      <w:pPr>
        <w:rPr>
          <w:rFonts w:ascii="Arial" w:hAnsi="Arial" w:cs="Arial"/>
          <w:bCs/>
          <w:color w:val="000000"/>
          <w:sz w:val="20"/>
          <w:szCs w:val="20"/>
          <w:lang w:eastAsia="en-GB"/>
        </w:rPr>
      </w:pPr>
      <w:r>
        <w:rPr>
          <w:rFonts w:ascii="Arial" w:hAnsi="Arial" w:cs="Arial"/>
          <w:bCs/>
          <w:color w:val="000000"/>
          <w:sz w:val="20"/>
          <w:szCs w:val="20"/>
          <w:lang w:eastAsia="en-GB"/>
        </w:rPr>
        <w:t>**</w:t>
      </w:r>
      <w:r w:rsidRPr="00DF615D">
        <w:rPr>
          <w:rFonts w:ascii="Arial" w:hAnsi="Arial" w:cs="Arial"/>
          <w:bCs/>
          <w:color w:val="000000"/>
          <w:sz w:val="20"/>
          <w:szCs w:val="20"/>
          <w:lang w:eastAsia="en-GB"/>
        </w:rPr>
        <w:t xml:space="preserve">Non-resident investors for South African income tax purposes </w:t>
      </w:r>
    </w:p>
    <w:p w14:paraId="23852529" w14:textId="380E7D7D" w:rsidR="00DF615D" w:rsidRPr="00DF615D" w:rsidRDefault="00DF615D" w:rsidP="00DF615D">
      <w:p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The dividend distribution received by non-resident investors will be exempt from income tax in terms of section 10(1)(k)(i) of the </w:t>
      </w:r>
      <w:r w:rsidR="004B63A1" w:rsidRPr="00DF615D">
        <w:rPr>
          <w:rFonts w:ascii="Arial" w:hAnsi="Arial" w:cs="Arial"/>
          <w:bCs/>
          <w:color w:val="000000"/>
          <w:sz w:val="20"/>
          <w:szCs w:val="20"/>
          <w:lang w:eastAsia="en-GB"/>
        </w:rPr>
        <w:t>Act but</w:t>
      </w:r>
      <w:r w:rsidRPr="00DF615D">
        <w:rPr>
          <w:rFonts w:ascii="Arial" w:hAnsi="Arial" w:cs="Arial"/>
          <w:bCs/>
          <w:color w:val="000000"/>
          <w:sz w:val="20"/>
          <w:szCs w:val="20"/>
          <w:lang w:eastAsia="en-GB"/>
        </w:rPr>
        <w:t xml:space="preserve"> will be subject to dividend withholding tax. Dividend withholdi</w:t>
      </w:r>
      <w:r w:rsidR="00DA4A5F">
        <w:rPr>
          <w:rFonts w:ascii="Arial" w:hAnsi="Arial" w:cs="Arial"/>
          <w:bCs/>
          <w:color w:val="000000"/>
          <w:sz w:val="20"/>
          <w:szCs w:val="20"/>
          <w:lang w:eastAsia="en-GB"/>
        </w:rPr>
        <w:t>ng tax is levied at a rate of 20</w:t>
      </w:r>
      <w:r w:rsidRPr="00DF615D">
        <w:rPr>
          <w:rFonts w:ascii="Arial" w:hAnsi="Arial" w:cs="Arial"/>
          <w:bCs/>
          <w:color w:val="000000"/>
          <w:sz w:val="20"/>
          <w:szCs w:val="20"/>
          <w:lang w:eastAsia="en-GB"/>
        </w:rPr>
        <w:t xml:space="preserve">%, unless the rate is reduced in terms of any applicable agreement for the avoidance of double taxation (“DTA”) between South Africa and the country of residence of the non-resident investor. </w:t>
      </w:r>
    </w:p>
    <w:p w14:paraId="45EF5FD9" w14:textId="77777777" w:rsidR="00DF615D" w:rsidRPr="00DF615D" w:rsidRDefault="00DF615D" w:rsidP="00DF615D">
      <w:p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A reduced dividend withholding rate in terms of the applicable DTA may only be relied on if the non-resident investor has provided the following forms to their CSDP or broker, as the case may be in respect of its participatory interest: </w:t>
      </w:r>
    </w:p>
    <w:p w14:paraId="0B3CEC64" w14:textId="77777777" w:rsidR="00DF615D" w:rsidRPr="00DF615D" w:rsidRDefault="00DF615D" w:rsidP="00502B2A">
      <w:pPr>
        <w:numPr>
          <w:ilvl w:val="0"/>
          <w:numId w:val="1"/>
        </w:num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a declaration that the dividend is subject to a reduced rate as a result of the application of a DTA; and </w:t>
      </w:r>
    </w:p>
    <w:p w14:paraId="3B4562AA" w14:textId="77777777" w:rsidR="00DF615D" w:rsidRDefault="00DF615D" w:rsidP="00502B2A">
      <w:pPr>
        <w:numPr>
          <w:ilvl w:val="0"/>
          <w:numId w:val="1"/>
        </w:num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a written undertaking to inform the CSDP or broker, as the case may be, should the circumstances affecting the reduced rate change or the beneficial owner cease to be the beneficial owner, both in the form prescribed by the South African Revenue Service. Non-resident investors are advised to contact their CSDP or broker, as the case may be, to arrange for the abovementioned documents to be submitted prior to the payment of the distribution if such documents have not already been submitted. </w:t>
      </w:r>
    </w:p>
    <w:p w14:paraId="6FE6DF48" w14:textId="77777777" w:rsidR="0071318F" w:rsidRDefault="0071318F" w:rsidP="00DF615D">
      <w:pPr>
        <w:rPr>
          <w:rFonts w:ascii="Arial" w:hAnsi="Arial" w:cs="Arial"/>
          <w:bCs/>
          <w:color w:val="000000"/>
          <w:sz w:val="20"/>
          <w:szCs w:val="20"/>
          <w:lang w:eastAsia="en-GB"/>
        </w:rPr>
      </w:pPr>
    </w:p>
    <w:p w14:paraId="0710D0F5" w14:textId="77777777" w:rsidR="00162109" w:rsidRDefault="00162109" w:rsidP="00DF615D">
      <w:pPr>
        <w:rPr>
          <w:rFonts w:ascii="Arial" w:hAnsi="Arial" w:cs="Arial"/>
          <w:bCs/>
          <w:color w:val="000000"/>
          <w:sz w:val="20"/>
          <w:szCs w:val="20"/>
          <w:lang w:val="en-ZA"/>
        </w:rPr>
      </w:pPr>
    </w:p>
    <w:p w14:paraId="7A7D70BA" w14:textId="3ABFD31D" w:rsidR="008C23BA" w:rsidRDefault="00402336" w:rsidP="00934703">
      <w:r w:rsidRPr="00402336">
        <w:rPr>
          <w:rFonts w:ascii="Arial" w:hAnsi="Arial" w:cs="Arial"/>
          <w:bCs/>
          <w:color w:val="000000"/>
          <w:sz w:val="20"/>
          <w:szCs w:val="20"/>
          <w:lang w:eastAsia="en-GB"/>
        </w:rPr>
        <w:t>***</w:t>
      </w:r>
      <w:r w:rsidR="008E45AA">
        <w:rPr>
          <w:rFonts w:ascii="Arial" w:hAnsi="Arial" w:cs="Arial"/>
          <w:bCs/>
          <w:color w:val="000000"/>
          <w:sz w:val="20"/>
          <w:szCs w:val="20"/>
          <w:lang w:eastAsia="en-GB"/>
        </w:rPr>
        <w:t>COMPAGNIE FINANCIERE RICHEMONT (CFR</w:t>
      </w:r>
      <w:r w:rsidR="00E31539">
        <w:rPr>
          <w:rFonts w:ascii="Arial" w:hAnsi="Arial" w:cs="Arial"/>
          <w:bCs/>
          <w:color w:val="000000"/>
          <w:sz w:val="20"/>
          <w:szCs w:val="20"/>
          <w:lang w:eastAsia="en-GB"/>
        </w:rPr>
        <w:t>)</w:t>
      </w:r>
      <w:r w:rsidRPr="00402336">
        <w:rPr>
          <w:rFonts w:ascii="Arial" w:hAnsi="Arial" w:cs="Arial"/>
          <w:bCs/>
          <w:color w:val="000000"/>
          <w:sz w:val="20"/>
          <w:szCs w:val="20"/>
          <w:lang w:eastAsia="en-GB"/>
        </w:rPr>
        <w:t xml:space="preserve"> Distribution - 3</w:t>
      </w:r>
      <w:r w:rsidR="008E45AA">
        <w:rPr>
          <w:rFonts w:ascii="Arial" w:hAnsi="Arial" w:cs="Arial"/>
          <w:bCs/>
          <w:color w:val="000000"/>
          <w:sz w:val="20"/>
          <w:szCs w:val="20"/>
          <w:lang w:eastAsia="en-GB"/>
        </w:rPr>
        <w:t>5</w:t>
      </w:r>
      <w:r w:rsidRPr="00402336">
        <w:rPr>
          <w:rFonts w:ascii="Arial" w:hAnsi="Arial" w:cs="Arial"/>
          <w:bCs/>
          <w:color w:val="000000"/>
          <w:sz w:val="20"/>
          <w:szCs w:val="20"/>
          <w:lang w:eastAsia="en-GB"/>
        </w:rPr>
        <w:t xml:space="preserve">% withholding tax has been deducted at source. </w:t>
      </w:r>
      <w:r w:rsidR="008E45AA">
        <w:rPr>
          <w:rFonts w:ascii="Arial" w:hAnsi="Arial" w:cs="Arial"/>
          <w:bCs/>
          <w:color w:val="000000"/>
          <w:sz w:val="20"/>
          <w:szCs w:val="20"/>
          <w:lang w:eastAsia="en-GB"/>
        </w:rPr>
        <w:t>20</w:t>
      </w:r>
      <w:r w:rsidRPr="00402336">
        <w:rPr>
          <w:rFonts w:ascii="Arial" w:hAnsi="Arial" w:cs="Arial"/>
          <w:bCs/>
          <w:color w:val="000000"/>
          <w:sz w:val="20"/>
          <w:szCs w:val="20"/>
          <w:lang w:eastAsia="en-GB"/>
        </w:rPr>
        <w:t xml:space="preserve">% is reclaimable from the </w:t>
      </w:r>
      <w:r w:rsidR="008E45AA">
        <w:rPr>
          <w:rFonts w:ascii="Arial" w:hAnsi="Arial" w:cs="Arial"/>
          <w:bCs/>
          <w:color w:val="000000"/>
          <w:sz w:val="20"/>
          <w:szCs w:val="20"/>
          <w:lang w:eastAsia="en-GB"/>
        </w:rPr>
        <w:t>Swiss</w:t>
      </w:r>
      <w:r w:rsidRPr="00402336">
        <w:rPr>
          <w:rFonts w:ascii="Arial" w:hAnsi="Arial" w:cs="Arial"/>
          <w:bCs/>
          <w:color w:val="000000"/>
          <w:sz w:val="20"/>
          <w:szCs w:val="20"/>
          <w:lang w:eastAsia="en-GB"/>
        </w:rPr>
        <w:t xml:space="preserve"> authorities as per SA-</w:t>
      </w:r>
      <w:r w:rsidR="008E45AA">
        <w:rPr>
          <w:rFonts w:ascii="Arial" w:hAnsi="Arial" w:cs="Arial"/>
          <w:bCs/>
          <w:color w:val="000000"/>
          <w:sz w:val="20"/>
          <w:szCs w:val="20"/>
          <w:lang w:eastAsia="en-GB"/>
        </w:rPr>
        <w:t>Switzerland</w:t>
      </w:r>
      <w:r w:rsidRPr="00402336">
        <w:rPr>
          <w:rFonts w:ascii="Arial" w:hAnsi="Arial" w:cs="Arial"/>
          <w:bCs/>
          <w:color w:val="000000"/>
          <w:sz w:val="20"/>
          <w:szCs w:val="20"/>
          <w:lang w:eastAsia="en-GB"/>
        </w:rPr>
        <w:t xml:space="preserve"> DTA. An additional 5% SA </w:t>
      </w:r>
      <w:r w:rsidRPr="00402336">
        <w:rPr>
          <w:rFonts w:ascii="Arial" w:hAnsi="Arial" w:cs="Arial"/>
          <w:bCs/>
          <w:color w:val="000000"/>
          <w:sz w:val="20"/>
          <w:szCs w:val="20"/>
          <w:lang w:eastAsia="en-GB"/>
        </w:rPr>
        <w:lastRenderedPageBreak/>
        <w:t xml:space="preserve">withholding tax is to be deducted by the relevant regulated intermediaries from SA residents who are not exempt from SA dividend tax. As a result, the initial withholding tax rate for non-exempt SA shareholders will be </w:t>
      </w:r>
      <w:r w:rsidR="008E45AA">
        <w:rPr>
          <w:rFonts w:ascii="Arial" w:hAnsi="Arial" w:cs="Arial"/>
          <w:bCs/>
          <w:color w:val="000000"/>
          <w:sz w:val="20"/>
          <w:szCs w:val="20"/>
          <w:lang w:eastAsia="en-GB"/>
        </w:rPr>
        <w:t>40</w:t>
      </w:r>
      <w:r w:rsidRPr="00402336">
        <w:rPr>
          <w:rFonts w:ascii="Arial" w:hAnsi="Arial" w:cs="Arial"/>
          <w:bCs/>
          <w:color w:val="000000"/>
          <w:sz w:val="20"/>
          <w:szCs w:val="20"/>
          <w:lang w:eastAsia="en-GB"/>
        </w:rPr>
        <w:t>%.</w:t>
      </w:r>
    </w:p>
    <w:p w14:paraId="395A9205" w14:textId="77777777" w:rsidR="00837A27" w:rsidRDefault="00837A27" w:rsidP="00934703"/>
    <w:p w14:paraId="62A0ACCB" w14:textId="77777777" w:rsidR="00D8530B" w:rsidRDefault="00934703" w:rsidP="00934703">
      <w:pPr>
        <w:rPr>
          <w:rFonts w:ascii="Arial" w:hAnsi="Arial" w:cs="Arial"/>
          <w:bCs/>
          <w:color w:val="000000"/>
          <w:sz w:val="20"/>
          <w:szCs w:val="20"/>
          <w:lang w:eastAsia="en-GB"/>
        </w:rPr>
      </w:pPr>
      <w:r w:rsidRPr="00934703">
        <w:rPr>
          <w:rFonts w:ascii="Arial" w:hAnsi="Arial" w:cs="Arial"/>
          <w:bCs/>
          <w:color w:val="000000"/>
          <w:sz w:val="20"/>
          <w:szCs w:val="20"/>
          <w:lang w:eastAsia="en-GB"/>
        </w:rPr>
        <w:t>*Investors should seek advice from their tax advisor on whether the tax rate shown is applicable to them.</w:t>
      </w:r>
    </w:p>
    <w:p w14:paraId="4911E5ED" w14:textId="77777777" w:rsidR="00934703" w:rsidRDefault="00934703" w:rsidP="00DF615D">
      <w:pPr>
        <w:rPr>
          <w:rFonts w:ascii="Arial" w:hAnsi="Arial" w:cs="Arial"/>
          <w:bCs/>
          <w:color w:val="000000"/>
          <w:sz w:val="20"/>
          <w:szCs w:val="20"/>
          <w:lang w:eastAsia="en-GB"/>
        </w:rPr>
      </w:pPr>
    </w:p>
    <w:p w14:paraId="4EAE8A71" w14:textId="77777777" w:rsidR="00502B2A" w:rsidRDefault="00502B2A" w:rsidP="00C47648">
      <w:pPr>
        <w:rPr>
          <w:rFonts w:ascii="Arial" w:hAnsi="Arial" w:cs="Arial"/>
          <w:b/>
          <w:bCs/>
          <w:color w:val="000000"/>
          <w:sz w:val="20"/>
          <w:szCs w:val="20"/>
          <w:lang w:eastAsia="en-GB"/>
        </w:rPr>
      </w:pPr>
    </w:p>
    <w:tbl>
      <w:tblPr>
        <w:tblW w:w="0" w:type="auto"/>
        <w:tblLook w:val="04A0" w:firstRow="1" w:lastRow="0" w:firstColumn="1" w:lastColumn="0" w:noHBand="0" w:noVBand="1"/>
      </w:tblPr>
      <w:tblGrid>
        <w:gridCol w:w="3311"/>
        <w:gridCol w:w="3302"/>
        <w:gridCol w:w="3309"/>
      </w:tblGrid>
      <w:tr w:rsidR="00502B2A" w:rsidRPr="00512BAB" w14:paraId="0516DACF" w14:textId="77777777" w:rsidTr="00512BAB">
        <w:tc>
          <w:tcPr>
            <w:tcW w:w="3379" w:type="dxa"/>
          </w:tcPr>
          <w:p w14:paraId="1901E69F" w14:textId="77777777" w:rsidR="008F63BC" w:rsidRDefault="008F63BC" w:rsidP="008F63BC">
            <w:pPr>
              <w:rPr>
                <w:rFonts w:ascii="Arial" w:hAnsi="Arial" w:cs="Arial"/>
                <w:b/>
                <w:bCs/>
                <w:color w:val="000000"/>
                <w:sz w:val="20"/>
                <w:szCs w:val="20"/>
                <w:lang w:eastAsia="en-GB"/>
              </w:rPr>
            </w:pPr>
            <w:r w:rsidRPr="008F30C0">
              <w:rPr>
                <w:rFonts w:ascii="Arial" w:hAnsi="Arial" w:cs="Arial"/>
                <w:b/>
                <w:bCs/>
                <w:color w:val="000000"/>
                <w:sz w:val="20"/>
                <w:szCs w:val="20"/>
                <w:u w:val="single"/>
                <w:lang w:eastAsia="en-GB"/>
              </w:rPr>
              <w:t>Additional information</w:t>
            </w:r>
            <w:r w:rsidRPr="00DA1A7A">
              <w:rPr>
                <w:rFonts w:ascii="Arial" w:hAnsi="Arial" w:cs="Arial"/>
                <w:b/>
                <w:bCs/>
                <w:color w:val="000000"/>
                <w:sz w:val="20"/>
                <w:szCs w:val="20"/>
                <w:lang w:eastAsia="en-GB"/>
              </w:rPr>
              <w:t xml:space="preserve">: </w:t>
            </w:r>
          </w:p>
          <w:p w14:paraId="78F925DE" w14:textId="77777777" w:rsidR="00502B2A" w:rsidRPr="00512BAB" w:rsidRDefault="00502B2A" w:rsidP="006A43F6">
            <w:pPr>
              <w:rPr>
                <w:rFonts w:ascii="Arial" w:hAnsi="Arial" w:cs="Arial"/>
                <w:b/>
                <w:bCs/>
                <w:color w:val="000000"/>
                <w:sz w:val="20"/>
                <w:szCs w:val="20"/>
                <w:lang w:eastAsia="en-GB"/>
              </w:rPr>
            </w:pPr>
          </w:p>
        </w:tc>
        <w:tc>
          <w:tcPr>
            <w:tcW w:w="3379" w:type="dxa"/>
          </w:tcPr>
          <w:p w14:paraId="092EBA20"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b/>
                <w:bCs/>
                <w:color w:val="000000"/>
                <w:sz w:val="20"/>
                <w:szCs w:val="20"/>
                <w:u w:val="single"/>
                <w:lang w:eastAsia="en-GB"/>
              </w:rPr>
              <w:t>Number of securities in issue</w:t>
            </w:r>
          </w:p>
        </w:tc>
        <w:tc>
          <w:tcPr>
            <w:tcW w:w="3380" w:type="dxa"/>
          </w:tcPr>
          <w:p w14:paraId="60A7167E"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b/>
                <w:bCs/>
                <w:color w:val="000000"/>
                <w:sz w:val="20"/>
                <w:szCs w:val="20"/>
                <w:u w:val="single"/>
                <w:lang w:eastAsia="en-GB"/>
              </w:rPr>
              <w:t>Tax reference number</w:t>
            </w:r>
          </w:p>
        </w:tc>
      </w:tr>
      <w:tr w:rsidR="00502B2A" w:rsidRPr="00512BAB" w14:paraId="1F04B36A" w14:textId="77777777" w:rsidTr="00512BAB">
        <w:tc>
          <w:tcPr>
            <w:tcW w:w="3379" w:type="dxa"/>
          </w:tcPr>
          <w:p w14:paraId="58D4F46A"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color w:val="000000"/>
                <w:sz w:val="20"/>
                <w:szCs w:val="20"/>
                <w:lang w:eastAsia="en-GB"/>
              </w:rPr>
              <w:t>GIVISA</w:t>
            </w:r>
            <w:r w:rsidRPr="00512BAB">
              <w:rPr>
                <w:rFonts w:ascii="Arial" w:hAnsi="Arial" w:cs="Arial"/>
                <w:color w:val="000000"/>
                <w:sz w:val="20"/>
                <w:szCs w:val="20"/>
                <w:lang w:eastAsia="en-GB"/>
              </w:rPr>
              <w:tab/>
            </w:r>
          </w:p>
        </w:tc>
        <w:tc>
          <w:tcPr>
            <w:tcW w:w="3379" w:type="dxa"/>
          </w:tcPr>
          <w:p w14:paraId="7CB16FB4"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color w:val="000000"/>
                <w:sz w:val="20"/>
                <w:szCs w:val="20"/>
                <w:lang w:eastAsia="en-GB"/>
              </w:rPr>
              <w:t>2,057,255</w:t>
            </w:r>
          </w:p>
        </w:tc>
        <w:tc>
          <w:tcPr>
            <w:tcW w:w="3380" w:type="dxa"/>
          </w:tcPr>
          <w:p w14:paraId="3E174D7E"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color w:val="000000"/>
                <w:sz w:val="20"/>
                <w:szCs w:val="20"/>
                <w:lang w:eastAsia="en-GB"/>
              </w:rPr>
              <w:t>9180010184</w:t>
            </w:r>
          </w:p>
        </w:tc>
      </w:tr>
    </w:tbl>
    <w:p w14:paraId="1263BEC8" w14:textId="56A4BDC1" w:rsidR="006A43F6" w:rsidRDefault="008C23BA" w:rsidP="006A43F6">
      <w:pPr>
        <w:spacing w:before="240" w:after="240"/>
        <w:rPr>
          <w:rFonts w:ascii="Arial" w:hAnsi="Arial" w:cs="Arial"/>
          <w:b/>
          <w:bCs/>
          <w:sz w:val="20"/>
          <w:szCs w:val="20"/>
          <w:lang w:eastAsia="en-GB"/>
        </w:rPr>
      </w:pPr>
      <w:r>
        <w:rPr>
          <w:rFonts w:ascii="Arial" w:hAnsi="Arial" w:cs="Arial"/>
          <w:b/>
          <w:bCs/>
          <w:sz w:val="20"/>
          <w:szCs w:val="20"/>
          <w:lang w:eastAsia="en-GB"/>
        </w:rPr>
        <w:t>1</w:t>
      </w:r>
      <w:r w:rsidR="009D3FF1">
        <w:rPr>
          <w:rFonts w:ascii="Arial" w:hAnsi="Arial" w:cs="Arial"/>
          <w:b/>
          <w:bCs/>
          <w:sz w:val="20"/>
          <w:szCs w:val="20"/>
          <w:lang w:eastAsia="en-GB"/>
        </w:rPr>
        <w:t>4</w:t>
      </w:r>
      <w:r>
        <w:rPr>
          <w:rFonts w:ascii="Arial" w:hAnsi="Arial" w:cs="Arial"/>
          <w:b/>
          <w:bCs/>
          <w:sz w:val="20"/>
          <w:szCs w:val="20"/>
          <w:lang w:eastAsia="en-GB"/>
        </w:rPr>
        <w:t xml:space="preserve"> </w:t>
      </w:r>
      <w:r w:rsidR="009D3FF1">
        <w:rPr>
          <w:rFonts w:ascii="Arial" w:hAnsi="Arial" w:cs="Arial"/>
          <w:b/>
          <w:bCs/>
          <w:sz w:val="20"/>
          <w:szCs w:val="20"/>
          <w:lang w:eastAsia="en-GB"/>
        </w:rPr>
        <w:t>April</w:t>
      </w:r>
      <w:r w:rsidR="00477073">
        <w:rPr>
          <w:rFonts w:ascii="Arial" w:hAnsi="Arial" w:cs="Arial"/>
          <w:b/>
          <w:bCs/>
          <w:sz w:val="20"/>
          <w:szCs w:val="20"/>
          <w:lang w:eastAsia="en-GB"/>
        </w:rPr>
        <w:t xml:space="preserve"> 2022</w:t>
      </w:r>
    </w:p>
    <w:p w14:paraId="179AA6E5" w14:textId="77777777" w:rsidR="00D121E1" w:rsidRPr="00DA1A7A" w:rsidRDefault="00D121E1" w:rsidP="006A43F6">
      <w:pPr>
        <w:spacing w:before="240" w:after="240"/>
        <w:rPr>
          <w:rFonts w:ascii="Arial" w:hAnsi="Arial" w:cs="Arial"/>
          <w:b/>
          <w:bCs/>
          <w:sz w:val="20"/>
          <w:szCs w:val="20"/>
          <w:lang w:eastAsia="en-GB"/>
        </w:rPr>
      </w:pPr>
    </w:p>
    <w:sectPr w:rsidR="00D121E1" w:rsidRPr="00DA1A7A" w:rsidSect="008F30C0">
      <w:headerReference w:type="even" r:id="rId7"/>
      <w:headerReference w:type="default" r:id="rId8"/>
      <w:footerReference w:type="even" r:id="rId9"/>
      <w:footerReference w:type="default" r:id="rId10"/>
      <w:headerReference w:type="first" r:id="rId11"/>
      <w:footerReference w:type="first" r:id="rId12"/>
      <w:pgSz w:w="11906" w:h="16838"/>
      <w:pgMar w:top="522"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C961" w14:textId="77777777" w:rsidR="00F948F3" w:rsidRDefault="00F948F3">
      <w:r>
        <w:separator/>
      </w:r>
    </w:p>
  </w:endnote>
  <w:endnote w:type="continuationSeparator" w:id="0">
    <w:p w14:paraId="6F5F387E" w14:textId="77777777" w:rsidR="00F948F3" w:rsidRDefault="00F9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CABE" w14:textId="77777777" w:rsidR="00D121E1" w:rsidRDefault="00D12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EF8F" w14:textId="77777777" w:rsidR="00D121E1" w:rsidRDefault="00D12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3C96" w14:textId="77777777" w:rsidR="00D121E1" w:rsidRDefault="00D12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16AB" w14:textId="77777777" w:rsidR="00F948F3" w:rsidRDefault="00F948F3">
      <w:r>
        <w:separator/>
      </w:r>
    </w:p>
  </w:footnote>
  <w:footnote w:type="continuationSeparator" w:id="0">
    <w:p w14:paraId="10BB3BF2" w14:textId="77777777" w:rsidR="00F948F3" w:rsidRDefault="00F9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AFF7" w14:textId="77777777" w:rsidR="00D121E1" w:rsidRDefault="00D12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D2AD" w14:textId="77777777" w:rsidR="00D121E1" w:rsidRDefault="00D121E1">
    <w:pPr>
      <w:pStyle w:val="Header"/>
      <w:jc w:val="center"/>
    </w:pPr>
  </w:p>
  <w:bookmarkStart w:id="1" w:name="_MON_1117611145"/>
  <w:bookmarkEnd w:id="1"/>
  <w:p w14:paraId="2B48041A" w14:textId="77777777" w:rsidR="00D121E1" w:rsidRDefault="00D121E1">
    <w:pPr>
      <w:pStyle w:val="Header"/>
      <w:jc w:val="center"/>
    </w:pPr>
    <w:r>
      <w:object w:dxaOrig="1697" w:dyaOrig="1509" w14:anchorId="45E6C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5pt;height:75.45pt">
          <v:imagedata r:id="rId1" o:title=""/>
        </v:shape>
        <o:OLEObject Type="Embed" ProgID="Word.Picture.8" ShapeID="_x0000_i1025" DrawAspect="Content" ObjectID="_1711417098" r:id="rId2"/>
      </w:object>
    </w:r>
  </w:p>
  <w:p w14:paraId="04D21757" w14:textId="77777777" w:rsidR="00D121E1" w:rsidRDefault="00D121E1">
    <w:pPr>
      <w:pStyle w:val="Header"/>
      <w:jc w:val="center"/>
      <w:rPr>
        <w:b/>
        <w:bCs/>
        <w:sz w:val="22"/>
      </w:rPr>
    </w:pPr>
    <w:r>
      <w:rPr>
        <w:b/>
        <w:bCs/>
        <w:sz w:val="22"/>
      </w:rPr>
      <w:t>NEWFUNDS (RF) PROPRIETARY LIMITED</w:t>
    </w:r>
  </w:p>
  <w:p w14:paraId="0AD6196F" w14:textId="77777777" w:rsidR="00D121E1" w:rsidRDefault="00D121E1">
    <w:pPr>
      <w:pStyle w:val="Header"/>
      <w:jc w:val="center"/>
      <w:rPr>
        <w:sz w:val="16"/>
      </w:rPr>
    </w:pPr>
    <w:r>
      <w:rPr>
        <w:sz w:val="16"/>
      </w:rPr>
      <w:t xml:space="preserve">( Incorporated under Registration Number 2005/034899/07 in the </w:t>
    </w:r>
    <w:smartTag w:uri="urn:schemas-microsoft-com:office:smarttags" w:element="place">
      <w:smartTag w:uri="urn:schemas-microsoft-com:office:smarttags" w:element="PlaceType">
        <w:r>
          <w:rPr>
            <w:sz w:val="16"/>
          </w:rPr>
          <w:t>Republic</w:t>
        </w:r>
      </w:smartTag>
      <w:r>
        <w:rPr>
          <w:sz w:val="16"/>
        </w:rPr>
        <w:t xml:space="preserve"> of </w:t>
      </w:r>
      <w:smartTag w:uri="urn:schemas-microsoft-com:office:smarttags" w:element="City">
        <w:r>
          <w:rPr>
            <w:sz w:val="16"/>
          </w:rPr>
          <w:t>South Africa</w:t>
        </w:r>
      </w:smartTag>
    </w:smartTag>
    <w:r>
      <w:rPr>
        <w:sz w:val="16"/>
      </w:rPr>
      <w:t xml:space="preserve"> )</w:t>
    </w:r>
  </w:p>
  <w:p w14:paraId="529A6CF9" w14:textId="77777777" w:rsidR="00D121E1" w:rsidRDefault="00D121E1">
    <w:pPr>
      <w:ind w:left="4320"/>
      <w:rPr>
        <w:rFonts w:cs="Arial"/>
        <w:color w:val="000080"/>
        <w:sz w:val="12"/>
      </w:rPr>
    </w:pPr>
  </w:p>
  <w:p w14:paraId="09536866" w14:textId="77777777" w:rsidR="00D121E1" w:rsidRDefault="00D121E1">
    <w:pPr>
      <w:ind w:left="4320"/>
      <w:rPr>
        <w:rFonts w:cs="Arial"/>
        <w:sz w:val="12"/>
      </w:rPr>
    </w:pPr>
    <w:r>
      <w:rPr>
        <w:rFonts w:cs="Arial"/>
        <w:sz w:val="12"/>
      </w:rPr>
      <w:t>7</w:t>
    </w:r>
    <w:r>
      <w:rPr>
        <w:rFonts w:cs="Arial"/>
        <w:sz w:val="12"/>
        <w:vertAlign w:val="superscript"/>
      </w:rPr>
      <w:t>th</w:t>
    </w:r>
    <w:r>
      <w:rPr>
        <w:rFonts w:cs="Arial"/>
        <w:sz w:val="12"/>
      </w:rPr>
      <w:t xml:space="preserve"> Floor, Absa Towers West </w:t>
    </w:r>
    <w:r>
      <w:rPr>
        <w:rFonts w:cs="Arial"/>
        <w:sz w:val="12"/>
      </w:rPr>
      <w:tab/>
    </w:r>
    <w:r>
      <w:rPr>
        <w:rFonts w:cs="Arial"/>
        <w:sz w:val="12"/>
      </w:rPr>
      <w:tab/>
      <w:t xml:space="preserve">Tel no: </w:t>
    </w:r>
    <w:r>
      <w:rPr>
        <w:rFonts w:cs="Arial"/>
        <w:sz w:val="12"/>
      </w:rPr>
      <w:tab/>
      <w:t xml:space="preserve"> (011) 350 5000</w:t>
    </w:r>
  </w:p>
  <w:p w14:paraId="5FD8BFA9" w14:textId="77777777" w:rsidR="00D121E1" w:rsidRDefault="00D121E1">
    <w:pPr>
      <w:pStyle w:val="BodyTextIndent"/>
      <w:rPr>
        <w:color w:val="auto"/>
        <w:sz w:val="12"/>
      </w:rPr>
    </w:pPr>
    <w:r>
      <w:rPr>
        <w:color w:val="auto"/>
        <w:sz w:val="12"/>
      </w:rPr>
      <w:t>15 Troye Street</w:t>
    </w:r>
    <w:r>
      <w:rPr>
        <w:color w:val="auto"/>
        <w:sz w:val="12"/>
      </w:rPr>
      <w:tab/>
    </w:r>
    <w:r>
      <w:rPr>
        <w:color w:val="auto"/>
        <w:sz w:val="12"/>
      </w:rPr>
      <w:tab/>
      <w:t xml:space="preserve">Fax no: </w:t>
    </w:r>
    <w:r>
      <w:rPr>
        <w:color w:val="auto"/>
        <w:sz w:val="12"/>
      </w:rPr>
      <w:tab/>
      <w:t xml:space="preserve"> (086) 584 9927</w:t>
    </w:r>
  </w:p>
  <w:p w14:paraId="193D8F7D" w14:textId="77777777" w:rsidR="00D121E1" w:rsidRDefault="00D121E1">
    <w:pPr>
      <w:ind w:left="3600" w:firstLine="720"/>
      <w:rPr>
        <w:rFonts w:cs="Arial"/>
        <w:sz w:val="12"/>
      </w:rPr>
    </w:pPr>
    <w:r>
      <w:rPr>
        <w:rFonts w:cs="Arial"/>
        <w:sz w:val="12"/>
      </w:rPr>
      <w:t>Johannesburg 2001</w:t>
    </w:r>
  </w:p>
  <w:p w14:paraId="69B660C2" w14:textId="77777777" w:rsidR="00D121E1" w:rsidRDefault="00D121E1">
    <w:pPr>
      <w:pStyle w:val="Header"/>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2EFD" w14:textId="77777777" w:rsidR="00D121E1" w:rsidRDefault="00D12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191"/>
    <w:multiLevelType w:val="hybridMultilevel"/>
    <w:tmpl w:val="73783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B7C6F"/>
    <w:multiLevelType w:val="hybridMultilevel"/>
    <w:tmpl w:val="03EE2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BD"/>
    <w:rsid w:val="0005140F"/>
    <w:rsid w:val="000858B3"/>
    <w:rsid w:val="0008718C"/>
    <w:rsid w:val="00090672"/>
    <w:rsid w:val="0009222B"/>
    <w:rsid w:val="00093B32"/>
    <w:rsid w:val="000B4545"/>
    <w:rsid w:val="000B76D9"/>
    <w:rsid w:val="000C4F31"/>
    <w:rsid w:val="000E3200"/>
    <w:rsid w:val="000F322C"/>
    <w:rsid w:val="00145DD1"/>
    <w:rsid w:val="00152714"/>
    <w:rsid w:val="00162109"/>
    <w:rsid w:val="00163948"/>
    <w:rsid w:val="00175D4F"/>
    <w:rsid w:val="00183F83"/>
    <w:rsid w:val="001D5666"/>
    <w:rsid w:val="001D765D"/>
    <w:rsid w:val="001F13B4"/>
    <w:rsid w:val="00200261"/>
    <w:rsid w:val="00273FF7"/>
    <w:rsid w:val="00280A69"/>
    <w:rsid w:val="002919A9"/>
    <w:rsid w:val="00295652"/>
    <w:rsid w:val="002D06BA"/>
    <w:rsid w:val="002D1F90"/>
    <w:rsid w:val="002F0077"/>
    <w:rsid w:val="003036F2"/>
    <w:rsid w:val="00330379"/>
    <w:rsid w:val="00343C6B"/>
    <w:rsid w:val="003845D9"/>
    <w:rsid w:val="003C6B54"/>
    <w:rsid w:val="003F4E11"/>
    <w:rsid w:val="00402336"/>
    <w:rsid w:val="00404D3E"/>
    <w:rsid w:val="00404F75"/>
    <w:rsid w:val="00411A8B"/>
    <w:rsid w:val="00431361"/>
    <w:rsid w:val="00432496"/>
    <w:rsid w:val="0045363E"/>
    <w:rsid w:val="00455D5A"/>
    <w:rsid w:val="00456E86"/>
    <w:rsid w:val="004666D7"/>
    <w:rsid w:val="004703F1"/>
    <w:rsid w:val="00477073"/>
    <w:rsid w:val="00481033"/>
    <w:rsid w:val="004979C4"/>
    <w:rsid w:val="004A59B1"/>
    <w:rsid w:val="004A7DD4"/>
    <w:rsid w:val="004B36EA"/>
    <w:rsid w:val="004B63A1"/>
    <w:rsid w:val="00502B2A"/>
    <w:rsid w:val="005128A6"/>
    <w:rsid w:val="00512BAB"/>
    <w:rsid w:val="005132EB"/>
    <w:rsid w:val="00513F4F"/>
    <w:rsid w:val="005633F1"/>
    <w:rsid w:val="005D7725"/>
    <w:rsid w:val="005E0F25"/>
    <w:rsid w:val="006019D5"/>
    <w:rsid w:val="006020A7"/>
    <w:rsid w:val="00605BD6"/>
    <w:rsid w:val="006174CC"/>
    <w:rsid w:val="00617B53"/>
    <w:rsid w:val="00634ED7"/>
    <w:rsid w:val="006716EB"/>
    <w:rsid w:val="006A43F6"/>
    <w:rsid w:val="006B5025"/>
    <w:rsid w:val="006C5759"/>
    <w:rsid w:val="006F2407"/>
    <w:rsid w:val="006F252B"/>
    <w:rsid w:val="0071318F"/>
    <w:rsid w:val="007625D2"/>
    <w:rsid w:val="00765CBD"/>
    <w:rsid w:val="007A5D63"/>
    <w:rsid w:val="007B76DA"/>
    <w:rsid w:val="007C003C"/>
    <w:rsid w:val="007C3A7D"/>
    <w:rsid w:val="00812AD2"/>
    <w:rsid w:val="008331BB"/>
    <w:rsid w:val="00837A27"/>
    <w:rsid w:val="00847FCE"/>
    <w:rsid w:val="00870757"/>
    <w:rsid w:val="008866D6"/>
    <w:rsid w:val="008A0333"/>
    <w:rsid w:val="008A7C07"/>
    <w:rsid w:val="008C23BA"/>
    <w:rsid w:val="008D4482"/>
    <w:rsid w:val="008D4A65"/>
    <w:rsid w:val="008D5607"/>
    <w:rsid w:val="008E45AA"/>
    <w:rsid w:val="008F30C0"/>
    <w:rsid w:val="008F63BC"/>
    <w:rsid w:val="00934703"/>
    <w:rsid w:val="00956AD2"/>
    <w:rsid w:val="009D3FF1"/>
    <w:rsid w:val="00A153B3"/>
    <w:rsid w:val="00A4672A"/>
    <w:rsid w:val="00A526B6"/>
    <w:rsid w:val="00A670AB"/>
    <w:rsid w:val="00A8361E"/>
    <w:rsid w:val="00AB3378"/>
    <w:rsid w:val="00AE6107"/>
    <w:rsid w:val="00AF07BC"/>
    <w:rsid w:val="00AF1E6D"/>
    <w:rsid w:val="00B03B08"/>
    <w:rsid w:val="00B04BCC"/>
    <w:rsid w:val="00B0744F"/>
    <w:rsid w:val="00B1323E"/>
    <w:rsid w:val="00B41212"/>
    <w:rsid w:val="00B47B1A"/>
    <w:rsid w:val="00B5378D"/>
    <w:rsid w:val="00B54CEE"/>
    <w:rsid w:val="00B71926"/>
    <w:rsid w:val="00B93F89"/>
    <w:rsid w:val="00BD6196"/>
    <w:rsid w:val="00BE46C4"/>
    <w:rsid w:val="00BE709D"/>
    <w:rsid w:val="00C07561"/>
    <w:rsid w:val="00C14CCB"/>
    <w:rsid w:val="00C44CC0"/>
    <w:rsid w:val="00C473E1"/>
    <w:rsid w:val="00C47648"/>
    <w:rsid w:val="00C706D9"/>
    <w:rsid w:val="00C83A44"/>
    <w:rsid w:val="00CB2FB5"/>
    <w:rsid w:val="00CE2D2C"/>
    <w:rsid w:val="00CF0234"/>
    <w:rsid w:val="00CF1999"/>
    <w:rsid w:val="00D121E1"/>
    <w:rsid w:val="00D16BA7"/>
    <w:rsid w:val="00D4594B"/>
    <w:rsid w:val="00D52267"/>
    <w:rsid w:val="00D531B4"/>
    <w:rsid w:val="00D61E70"/>
    <w:rsid w:val="00D657BD"/>
    <w:rsid w:val="00D8530B"/>
    <w:rsid w:val="00DA0AD9"/>
    <w:rsid w:val="00DA4A5F"/>
    <w:rsid w:val="00DE0ADE"/>
    <w:rsid w:val="00DF615D"/>
    <w:rsid w:val="00E01320"/>
    <w:rsid w:val="00E11DF2"/>
    <w:rsid w:val="00E12CE1"/>
    <w:rsid w:val="00E16EAD"/>
    <w:rsid w:val="00E27FB6"/>
    <w:rsid w:val="00E31539"/>
    <w:rsid w:val="00E46BDE"/>
    <w:rsid w:val="00E51CD5"/>
    <w:rsid w:val="00E7667D"/>
    <w:rsid w:val="00E85B00"/>
    <w:rsid w:val="00F0775D"/>
    <w:rsid w:val="00F121BB"/>
    <w:rsid w:val="00F154D3"/>
    <w:rsid w:val="00F16258"/>
    <w:rsid w:val="00F22B1B"/>
    <w:rsid w:val="00F239E3"/>
    <w:rsid w:val="00F37339"/>
    <w:rsid w:val="00F53AA1"/>
    <w:rsid w:val="00F76578"/>
    <w:rsid w:val="00F8617E"/>
    <w:rsid w:val="00F93BEC"/>
    <w:rsid w:val="00F948F3"/>
    <w:rsid w:val="00F95978"/>
    <w:rsid w:val="00FA50FE"/>
    <w:rsid w:val="00FC407D"/>
    <w:rsid w:val="00FF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26626"/>
    <o:shapelayout v:ext="edit">
      <o:idmap v:ext="edit" data="1"/>
    </o:shapelayout>
  </w:shapeDefaults>
  <w:decimalSymbol w:val=","/>
  <w:listSeparator w:val=","/>
  <w14:docId w14:val="5C4B8294"/>
  <w15:chartTrackingRefBased/>
  <w15:docId w15:val="{8079DF98-4AAB-4404-8DBE-1E243B94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978"/>
    <w:rPr>
      <w:sz w:val="24"/>
      <w:szCs w:val="24"/>
      <w:lang w:val="en-GB"/>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rsid w:val="00F959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0" w:firstLine="720"/>
    </w:pPr>
    <w:rPr>
      <w:rFonts w:cs="Arial"/>
      <w:color w:val="000080"/>
      <w:sz w:val="16"/>
    </w:rPr>
  </w:style>
  <w:style w:type="paragraph" w:customStyle="1" w:styleId="Default">
    <w:name w:val="Default"/>
    <w:rsid w:val="008F30C0"/>
    <w:pPr>
      <w:autoSpaceDE w:val="0"/>
      <w:autoSpaceDN w:val="0"/>
      <w:adjustRightInd w:val="0"/>
    </w:pPr>
    <w:rPr>
      <w:color w:val="000000"/>
      <w:sz w:val="24"/>
      <w:szCs w:val="24"/>
      <w:lang w:val="en-GB" w:eastAsia="en-GB"/>
    </w:rPr>
  </w:style>
  <w:style w:type="table" w:styleId="TableGrid">
    <w:name w:val="Table Grid"/>
    <w:basedOn w:val="TableNormal"/>
    <w:rsid w:val="00502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551">
      <w:bodyDiv w:val="1"/>
      <w:marLeft w:val="0"/>
      <w:marRight w:val="0"/>
      <w:marTop w:val="0"/>
      <w:marBottom w:val="0"/>
      <w:divBdr>
        <w:top w:val="none" w:sz="0" w:space="0" w:color="auto"/>
        <w:left w:val="none" w:sz="0" w:space="0" w:color="auto"/>
        <w:bottom w:val="none" w:sz="0" w:space="0" w:color="auto"/>
        <w:right w:val="none" w:sz="0" w:space="0" w:color="auto"/>
      </w:divBdr>
    </w:div>
    <w:div w:id="83577243">
      <w:bodyDiv w:val="1"/>
      <w:marLeft w:val="0"/>
      <w:marRight w:val="0"/>
      <w:marTop w:val="0"/>
      <w:marBottom w:val="0"/>
      <w:divBdr>
        <w:top w:val="none" w:sz="0" w:space="0" w:color="auto"/>
        <w:left w:val="none" w:sz="0" w:space="0" w:color="auto"/>
        <w:bottom w:val="none" w:sz="0" w:space="0" w:color="auto"/>
        <w:right w:val="none" w:sz="0" w:space="0" w:color="auto"/>
      </w:divBdr>
    </w:div>
    <w:div w:id="134492270">
      <w:bodyDiv w:val="1"/>
      <w:marLeft w:val="0"/>
      <w:marRight w:val="0"/>
      <w:marTop w:val="0"/>
      <w:marBottom w:val="0"/>
      <w:divBdr>
        <w:top w:val="none" w:sz="0" w:space="0" w:color="auto"/>
        <w:left w:val="none" w:sz="0" w:space="0" w:color="auto"/>
        <w:bottom w:val="none" w:sz="0" w:space="0" w:color="auto"/>
        <w:right w:val="none" w:sz="0" w:space="0" w:color="auto"/>
      </w:divBdr>
    </w:div>
    <w:div w:id="424308254">
      <w:bodyDiv w:val="1"/>
      <w:marLeft w:val="0"/>
      <w:marRight w:val="0"/>
      <w:marTop w:val="0"/>
      <w:marBottom w:val="0"/>
      <w:divBdr>
        <w:top w:val="none" w:sz="0" w:space="0" w:color="auto"/>
        <w:left w:val="none" w:sz="0" w:space="0" w:color="auto"/>
        <w:bottom w:val="none" w:sz="0" w:space="0" w:color="auto"/>
        <w:right w:val="none" w:sz="0" w:space="0" w:color="auto"/>
      </w:divBdr>
    </w:div>
    <w:div w:id="458959459">
      <w:bodyDiv w:val="1"/>
      <w:marLeft w:val="0"/>
      <w:marRight w:val="0"/>
      <w:marTop w:val="0"/>
      <w:marBottom w:val="0"/>
      <w:divBdr>
        <w:top w:val="none" w:sz="0" w:space="0" w:color="auto"/>
        <w:left w:val="none" w:sz="0" w:space="0" w:color="auto"/>
        <w:bottom w:val="none" w:sz="0" w:space="0" w:color="auto"/>
        <w:right w:val="none" w:sz="0" w:space="0" w:color="auto"/>
      </w:divBdr>
    </w:div>
    <w:div w:id="480386918">
      <w:bodyDiv w:val="1"/>
      <w:marLeft w:val="0"/>
      <w:marRight w:val="0"/>
      <w:marTop w:val="0"/>
      <w:marBottom w:val="0"/>
      <w:divBdr>
        <w:top w:val="none" w:sz="0" w:space="0" w:color="auto"/>
        <w:left w:val="none" w:sz="0" w:space="0" w:color="auto"/>
        <w:bottom w:val="none" w:sz="0" w:space="0" w:color="auto"/>
        <w:right w:val="none" w:sz="0" w:space="0" w:color="auto"/>
      </w:divBdr>
    </w:div>
    <w:div w:id="584338391">
      <w:bodyDiv w:val="1"/>
      <w:marLeft w:val="0"/>
      <w:marRight w:val="0"/>
      <w:marTop w:val="0"/>
      <w:marBottom w:val="0"/>
      <w:divBdr>
        <w:top w:val="none" w:sz="0" w:space="0" w:color="auto"/>
        <w:left w:val="none" w:sz="0" w:space="0" w:color="auto"/>
        <w:bottom w:val="none" w:sz="0" w:space="0" w:color="auto"/>
        <w:right w:val="none" w:sz="0" w:space="0" w:color="auto"/>
      </w:divBdr>
    </w:div>
    <w:div w:id="621112392">
      <w:bodyDiv w:val="1"/>
      <w:marLeft w:val="0"/>
      <w:marRight w:val="0"/>
      <w:marTop w:val="0"/>
      <w:marBottom w:val="0"/>
      <w:divBdr>
        <w:top w:val="none" w:sz="0" w:space="0" w:color="auto"/>
        <w:left w:val="none" w:sz="0" w:space="0" w:color="auto"/>
        <w:bottom w:val="none" w:sz="0" w:space="0" w:color="auto"/>
        <w:right w:val="none" w:sz="0" w:space="0" w:color="auto"/>
      </w:divBdr>
    </w:div>
    <w:div w:id="749810227">
      <w:bodyDiv w:val="1"/>
      <w:marLeft w:val="0"/>
      <w:marRight w:val="0"/>
      <w:marTop w:val="0"/>
      <w:marBottom w:val="0"/>
      <w:divBdr>
        <w:top w:val="none" w:sz="0" w:space="0" w:color="auto"/>
        <w:left w:val="none" w:sz="0" w:space="0" w:color="auto"/>
        <w:bottom w:val="none" w:sz="0" w:space="0" w:color="auto"/>
        <w:right w:val="none" w:sz="0" w:space="0" w:color="auto"/>
      </w:divBdr>
    </w:div>
    <w:div w:id="819077015">
      <w:bodyDiv w:val="1"/>
      <w:marLeft w:val="0"/>
      <w:marRight w:val="0"/>
      <w:marTop w:val="0"/>
      <w:marBottom w:val="0"/>
      <w:divBdr>
        <w:top w:val="none" w:sz="0" w:space="0" w:color="auto"/>
        <w:left w:val="none" w:sz="0" w:space="0" w:color="auto"/>
        <w:bottom w:val="none" w:sz="0" w:space="0" w:color="auto"/>
        <w:right w:val="none" w:sz="0" w:space="0" w:color="auto"/>
      </w:divBdr>
    </w:div>
    <w:div w:id="881018993">
      <w:bodyDiv w:val="1"/>
      <w:marLeft w:val="0"/>
      <w:marRight w:val="0"/>
      <w:marTop w:val="0"/>
      <w:marBottom w:val="0"/>
      <w:divBdr>
        <w:top w:val="none" w:sz="0" w:space="0" w:color="auto"/>
        <w:left w:val="none" w:sz="0" w:space="0" w:color="auto"/>
        <w:bottom w:val="none" w:sz="0" w:space="0" w:color="auto"/>
        <w:right w:val="none" w:sz="0" w:space="0" w:color="auto"/>
      </w:divBdr>
    </w:div>
    <w:div w:id="919364388">
      <w:bodyDiv w:val="1"/>
      <w:marLeft w:val="0"/>
      <w:marRight w:val="0"/>
      <w:marTop w:val="0"/>
      <w:marBottom w:val="0"/>
      <w:divBdr>
        <w:top w:val="none" w:sz="0" w:space="0" w:color="auto"/>
        <w:left w:val="none" w:sz="0" w:space="0" w:color="auto"/>
        <w:bottom w:val="none" w:sz="0" w:space="0" w:color="auto"/>
        <w:right w:val="none" w:sz="0" w:space="0" w:color="auto"/>
      </w:divBdr>
    </w:div>
    <w:div w:id="967315061">
      <w:bodyDiv w:val="1"/>
      <w:marLeft w:val="0"/>
      <w:marRight w:val="0"/>
      <w:marTop w:val="0"/>
      <w:marBottom w:val="0"/>
      <w:divBdr>
        <w:top w:val="none" w:sz="0" w:space="0" w:color="auto"/>
        <w:left w:val="none" w:sz="0" w:space="0" w:color="auto"/>
        <w:bottom w:val="none" w:sz="0" w:space="0" w:color="auto"/>
        <w:right w:val="none" w:sz="0" w:space="0" w:color="auto"/>
      </w:divBdr>
    </w:div>
    <w:div w:id="1032463441">
      <w:bodyDiv w:val="1"/>
      <w:marLeft w:val="0"/>
      <w:marRight w:val="0"/>
      <w:marTop w:val="0"/>
      <w:marBottom w:val="0"/>
      <w:divBdr>
        <w:top w:val="none" w:sz="0" w:space="0" w:color="auto"/>
        <w:left w:val="none" w:sz="0" w:space="0" w:color="auto"/>
        <w:bottom w:val="none" w:sz="0" w:space="0" w:color="auto"/>
        <w:right w:val="none" w:sz="0" w:space="0" w:color="auto"/>
      </w:divBdr>
    </w:div>
    <w:div w:id="1190336822">
      <w:bodyDiv w:val="1"/>
      <w:marLeft w:val="0"/>
      <w:marRight w:val="0"/>
      <w:marTop w:val="0"/>
      <w:marBottom w:val="0"/>
      <w:divBdr>
        <w:top w:val="none" w:sz="0" w:space="0" w:color="auto"/>
        <w:left w:val="none" w:sz="0" w:space="0" w:color="auto"/>
        <w:bottom w:val="none" w:sz="0" w:space="0" w:color="auto"/>
        <w:right w:val="none" w:sz="0" w:space="0" w:color="auto"/>
      </w:divBdr>
    </w:div>
    <w:div w:id="1215890445">
      <w:bodyDiv w:val="1"/>
      <w:marLeft w:val="0"/>
      <w:marRight w:val="0"/>
      <w:marTop w:val="0"/>
      <w:marBottom w:val="0"/>
      <w:divBdr>
        <w:top w:val="none" w:sz="0" w:space="0" w:color="auto"/>
        <w:left w:val="none" w:sz="0" w:space="0" w:color="auto"/>
        <w:bottom w:val="none" w:sz="0" w:space="0" w:color="auto"/>
        <w:right w:val="none" w:sz="0" w:space="0" w:color="auto"/>
      </w:divBdr>
    </w:div>
    <w:div w:id="1380009392">
      <w:bodyDiv w:val="1"/>
      <w:marLeft w:val="0"/>
      <w:marRight w:val="0"/>
      <w:marTop w:val="0"/>
      <w:marBottom w:val="0"/>
      <w:divBdr>
        <w:top w:val="none" w:sz="0" w:space="0" w:color="auto"/>
        <w:left w:val="none" w:sz="0" w:space="0" w:color="auto"/>
        <w:bottom w:val="none" w:sz="0" w:space="0" w:color="auto"/>
        <w:right w:val="none" w:sz="0" w:space="0" w:color="auto"/>
      </w:divBdr>
    </w:div>
    <w:div w:id="1438911552">
      <w:bodyDiv w:val="1"/>
      <w:marLeft w:val="0"/>
      <w:marRight w:val="0"/>
      <w:marTop w:val="0"/>
      <w:marBottom w:val="0"/>
      <w:divBdr>
        <w:top w:val="none" w:sz="0" w:space="0" w:color="auto"/>
        <w:left w:val="none" w:sz="0" w:space="0" w:color="auto"/>
        <w:bottom w:val="none" w:sz="0" w:space="0" w:color="auto"/>
        <w:right w:val="none" w:sz="0" w:space="0" w:color="auto"/>
      </w:divBdr>
    </w:div>
    <w:div w:id="1463500720">
      <w:bodyDiv w:val="1"/>
      <w:marLeft w:val="0"/>
      <w:marRight w:val="0"/>
      <w:marTop w:val="0"/>
      <w:marBottom w:val="0"/>
      <w:divBdr>
        <w:top w:val="none" w:sz="0" w:space="0" w:color="auto"/>
        <w:left w:val="none" w:sz="0" w:space="0" w:color="auto"/>
        <w:bottom w:val="none" w:sz="0" w:space="0" w:color="auto"/>
        <w:right w:val="none" w:sz="0" w:space="0" w:color="auto"/>
      </w:divBdr>
    </w:div>
    <w:div w:id="1493176298">
      <w:bodyDiv w:val="1"/>
      <w:marLeft w:val="0"/>
      <w:marRight w:val="0"/>
      <w:marTop w:val="0"/>
      <w:marBottom w:val="0"/>
      <w:divBdr>
        <w:top w:val="none" w:sz="0" w:space="0" w:color="auto"/>
        <w:left w:val="none" w:sz="0" w:space="0" w:color="auto"/>
        <w:bottom w:val="none" w:sz="0" w:space="0" w:color="auto"/>
        <w:right w:val="none" w:sz="0" w:space="0" w:color="auto"/>
      </w:divBdr>
    </w:div>
    <w:div w:id="1541162570">
      <w:bodyDiv w:val="1"/>
      <w:marLeft w:val="0"/>
      <w:marRight w:val="0"/>
      <w:marTop w:val="0"/>
      <w:marBottom w:val="0"/>
      <w:divBdr>
        <w:top w:val="none" w:sz="0" w:space="0" w:color="auto"/>
        <w:left w:val="none" w:sz="0" w:space="0" w:color="auto"/>
        <w:bottom w:val="none" w:sz="0" w:space="0" w:color="auto"/>
        <w:right w:val="none" w:sz="0" w:space="0" w:color="auto"/>
      </w:divBdr>
    </w:div>
    <w:div w:id="1677264518">
      <w:bodyDiv w:val="1"/>
      <w:marLeft w:val="0"/>
      <w:marRight w:val="0"/>
      <w:marTop w:val="0"/>
      <w:marBottom w:val="0"/>
      <w:divBdr>
        <w:top w:val="none" w:sz="0" w:space="0" w:color="auto"/>
        <w:left w:val="none" w:sz="0" w:space="0" w:color="auto"/>
        <w:bottom w:val="none" w:sz="0" w:space="0" w:color="auto"/>
        <w:right w:val="none" w:sz="0" w:space="0" w:color="auto"/>
      </w:divBdr>
    </w:div>
    <w:div w:id="1785490957">
      <w:bodyDiv w:val="1"/>
      <w:marLeft w:val="0"/>
      <w:marRight w:val="0"/>
      <w:marTop w:val="0"/>
      <w:marBottom w:val="0"/>
      <w:divBdr>
        <w:top w:val="none" w:sz="0" w:space="0" w:color="auto"/>
        <w:left w:val="none" w:sz="0" w:space="0" w:color="auto"/>
        <w:bottom w:val="none" w:sz="0" w:space="0" w:color="auto"/>
        <w:right w:val="none" w:sz="0" w:space="0" w:color="auto"/>
      </w:divBdr>
    </w:div>
    <w:div w:id="1812943422">
      <w:bodyDiv w:val="1"/>
      <w:marLeft w:val="0"/>
      <w:marRight w:val="0"/>
      <w:marTop w:val="0"/>
      <w:marBottom w:val="0"/>
      <w:divBdr>
        <w:top w:val="none" w:sz="0" w:space="0" w:color="auto"/>
        <w:left w:val="none" w:sz="0" w:space="0" w:color="auto"/>
        <w:bottom w:val="none" w:sz="0" w:space="0" w:color="auto"/>
        <w:right w:val="none" w:sz="0" w:space="0" w:color="auto"/>
      </w:divBdr>
    </w:div>
    <w:div w:id="1870491747">
      <w:bodyDiv w:val="1"/>
      <w:marLeft w:val="0"/>
      <w:marRight w:val="0"/>
      <w:marTop w:val="0"/>
      <w:marBottom w:val="0"/>
      <w:divBdr>
        <w:top w:val="none" w:sz="0" w:space="0" w:color="auto"/>
        <w:left w:val="none" w:sz="0" w:space="0" w:color="auto"/>
        <w:bottom w:val="none" w:sz="0" w:space="0" w:color="auto"/>
        <w:right w:val="none" w:sz="0" w:space="0" w:color="auto"/>
      </w:divBdr>
    </w:div>
    <w:div w:id="1910773120">
      <w:bodyDiv w:val="1"/>
      <w:marLeft w:val="0"/>
      <w:marRight w:val="0"/>
      <w:marTop w:val="0"/>
      <w:marBottom w:val="0"/>
      <w:divBdr>
        <w:top w:val="none" w:sz="0" w:space="0" w:color="auto"/>
        <w:left w:val="none" w:sz="0" w:space="0" w:color="auto"/>
        <w:bottom w:val="none" w:sz="0" w:space="0" w:color="auto"/>
        <w:right w:val="none" w:sz="0" w:space="0" w:color="auto"/>
      </w:divBdr>
    </w:div>
    <w:div w:id="2041130278">
      <w:bodyDiv w:val="1"/>
      <w:marLeft w:val="0"/>
      <w:marRight w:val="0"/>
      <w:marTop w:val="0"/>
      <w:marBottom w:val="0"/>
      <w:divBdr>
        <w:top w:val="none" w:sz="0" w:space="0" w:color="auto"/>
        <w:left w:val="none" w:sz="0" w:space="0" w:color="auto"/>
        <w:bottom w:val="none" w:sz="0" w:space="0" w:color="auto"/>
        <w:right w:val="none" w:sz="0" w:space="0" w:color="auto"/>
      </w:divBdr>
    </w:div>
    <w:div w:id="20858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876</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ABSA</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abdj131</dc:creator>
  <cp:keywords/>
  <cp:lastModifiedBy>Melissa Viljoen (ZA)</cp:lastModifiedBy>
  <cp:revision>8</cp:revision>
  <cp:lastPrinted>2004-06-18T09:52:00Z</cp:lastPrinted>
  <dcterms:created xsi:type="dcterms:W3CDTF">2022-01-07T15:46:00Z</dcterms:created>
  <dcterms:modified xsi:type="dcterms:W3CDTF">2022-04-14T02:52:00Z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04381b7f-81d6-4707-974f-da4def239cc1</vt:lpwstr>
  </property>
  <property fmtid="{D5CDD505-2E9C-101B-9397-08002B2CF9AE}" pid="3" name="TitusGDPR">
    <vt:lpwstr>TitusGDPRNo</vt:lpwstr>
  </property>
  <property fmtid="{D5CDD505-2E9C-101B-9397-08002B2CF9AE}" pid="4" name="TitusPCI">
    <vt:lpwstr>TitusPCINo</vt:lpwstr>
  </property>
  <property fmtid="{D5CDD505-2E9C-101B-9397-08002B2CF9AE}" pid="5" name="TitusPOPI">
    <vt:lpwstr>TitusPOPINo</vt:lpwstr>
  </property>
  <property fmtid="{D5CDD505-2E9C-101B-9397-08002B2CF9AE}" pid="6" name="TitusPOPISpecial">
    <vt:lpwstr>TitusPOPISpecialNo</vt:lpwstr>
  </property>
  <property fmtid="{D5CDD505-2E9C-101B-9397-08002B2CF9AE}" pid="7" name="TitusContentScanMode">
    <vt:lpwstr>TitusContentScanModeAutomatic</vt:lpwstr>
  </property>
  <property fmtid="{D5CDD505-2E9C-101B-9397-08002B2CF9AE}" pid="8" name="TitusClassification">
    <vt:lpwstr>TitusRestricted</vt:lpwstr>
  </property>
</Properties>
</file>