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C3C0" w14:textId="77777777" w:rsidR="00812AD2" w:rsidRDefault="00812AD2" w:rsidP="00A153B3">
      <w:pPr>
        <w:ind w:left="-993" w:firstLine="993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812AD2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NEWFUNDS S&amp;P GIVI SA TOP 50 INDEX ETF PORTFOLIO</w:t>
      </w:r>
    </w:p>
    <w:p w14:paraId="40898234" w14:textId="77777777" w:rsidR="006A43F6" w:rsidRDefault="003F4E11" w:rsidP="00A153B3">
      <w:pPr>
        <w:ind w:left="-993" w:firstLine="993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Share code: NERA</w:t>
      </w:r>
    </w:p>
    <w:p w14:paraId="7654DCA1" w14:textId="77777777" w:rsidR="006A43F6" w:rsidRDefault="006A43F6" w:rsidP="006A43F6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6A43F6">
        <w:rPr>
          <w:rFonts w:ascii="Arial" w:hAnsi="Arial" w:cs="Arial"/>
          <w:color w:val="000000"/>
          <w:sz w:val="20"/>
          <w:szCs w:val="20"/>
          <w:lang w:eastAsia="en-GB"/>
        </w:rPr>
        <w:t xml:space="preserve">ISIN: </w:t>
      </w:r>
      <w:r w:rsidR="002919A9" w:rsidRPr="002919A9">
        <w:rPr>
          <w:rFonts w:ascii="Arial" w:hAnsi="Arial" w:cs="Arial"/>
          <w:color w:val="000000"/>
          <w:sz w:val="20"/>
          <w:szCs w:val="20"/>
          <w:lang w:eastAsia="en-GB"/>
        </w:rPr>
        <w:t>ZAE000205225</w:t>
      </w:r>
      <w:r w:rsidRPr="006A43F6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30A1013A" w14:textId="77777777" w:rsidR="006A43F6" w:rsidRPr="00DA1A7A" w:rsidRDefault="006A43F6" w:rsidP="006A43F6">
      <w:pPr>
        <w:spacing w:before="240" w:after="240"/>
        <w:jc w:val="both"/>
        <w:rPr>
          <w:rFonts w:ascii="Arial" w:hAnsi="Arial" w:cs="Arial"/>
          <w:sz w:val="20"/>
          <w:szCs w:val="20"/>
          <w:lang w:eastAsia="en-GB"/>
        </w:rPr>
      </w:pPr>
      <w:r w:rsidRPr="00DA1A7A">
        <w:rPr>
          <w:rFonts w:ascii="Arial" w:hAnsi="Arial" w:cs="Arial"/>
          <w:sz w:val="20"/>
          <w:szCs w:val="20"/>
          <w:lang w:eastAsia="en-GB"/>
        </w:rPr>
        <w:t>Portfolios in the NewFunds Collective Investment Scheme in Securities registered as such in terms of the Collective Investment Schemes Control Act, 45 of 2002 and managed by NewFunds</w:t>
      </w:r>
      <w:r w:rsidR="00F53AA1">
        <w:rPr>
          <w:rFonts w:ascii="Arial" w:hAnsi="Arial" w:cs="Arial"/>
          <w:sz w:val="20"/>
          <w:szCs w:val="20"/>
          <w:lang w:eastAsia="en-GB"/>
        </w:rPr>
        <w:t xml:space="preserve"> (RF)</w:t>
      </w:r>
      <w:r w:rsidRPr="00DA1A7A">
        <w:rPr>
          <w:rFonts w:ascii="Arial" w:hAnsi="Arial" w:cs="Arial"/>
          <w:sz w:val="20"/>
          <w:szCs w:val="20"/>
          <w:lang w:eastAsia="en-GB"/>
        </w:rPr>
        <w:t xml:space="preserve"> Proprietary Limited (</w:t>
      </w:r>
      <w:r w:rsidRPr="00DA1A7A">
        <w:rPr>
          <w:rFonts w:ascii="Arial" w:hAnsi="Arial" w:cs="Arial"/>
          <w:color w:val="000000"/>
          <w:sz w:val="20"/>
          <w:szCs w:val="20"/>
          <w:lang w:eastAsia="en-GB"/>
        </w:rPr>
        <w:t>Registration Number 2005/034899/07)</w:t>
      </w:r>
    </w:p>
    <w:p w14:paraId="2BB8E7E9" w14:textId="73BB4322" w:rsidR="006A43F6" w:rsidRDefault="003F4E11" w:rsidP="006A43F6">
      <w:pPr>
        <w:spacing w:before="240" w:after="24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NERA MUR</w:t>
      </w:r>
      <w:r w:rsidR="00CB2FB5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A43F6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DISTRIBUTION </w:t>
      </w:r>
      <w:r w:rsidR="006A43F6" w:rsidRPr="00DA1A7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ANNOU</w:t>
      </w:r>
      <w:r w:rsidR="002919A9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NCEME</w:t>
      </w:r>
      <w:r w:rsidR="00A4672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NT FO</w:t>
      </w:r>
      <w:r w:rsidR="00145DD1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R THE QUARTER ENDED </w:t>
      </w:r>
      <w:r w:rsidR="00FC407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3</w:t>
      </w:r>
      <w:r w:rsidR="0043228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0</w:t>
      </w:r>
      <w:r w:rsidR="008C23B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43228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JUNE</w:t>
      </w:r>
      <w:r w:rsidR="009D3FF1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2022</w:t>
      </w:r>
    </w:p>
    <w:p w14:paraId="6FA5A750" w14:textId="1FDDD8EE" w:rsidR="00CF1999" w:rsidRPr="00CF1999" w:rsidRDefault="00CF1999" w:rsidP="006A43F6">
      <w:pPr>
        <w:spacing w:before="240" w:after="240"/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F1999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NewFunds has today finalised a distribution to holders of ETF securities ("investors") recorded as such in the register on Friday, </w:t>
      </w:r>
      <w:r w:rsidR="008C23BA">
        <w:rPr>
          <w:rFonts w:ascii="Arial" w:hAnsi="Arial" w:cs="Arial"/>
          <w:bCs/>
          <w:color w:val="000000"/>
          <w:sz w:val="20"/>
          <w:szCs w:val="20"/>
          <w:lang w:eastAsia="en-GB"/>
        </w:rPr>
        <w:t>2</w:t>
      </w:r>
      <w:r w:rsidR="00432284">
        <w:rPr>
          <w:rFonts w:ascii="Arial" w:hAnsi="Arial" w:cs="Arial"/>
          <w:bCs/>
          <w:color w:val="000000"/>
          <w:sz w:val="20"/>
          <w:szCs w:val="20"/>
          <w:lang w:eastAsia="en-GB"/>
        </w:rPr>
        <w:t>2</w:t>
      </w:r>
      <w:r w:rsidR="008C23BA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432284">
        <w:rPr>
          <w:rFonts w:ascii="Arial" w:hAnsi="Arial" w:cs="Arial"/>
          <w:bCs/>
          <w:color w:val="000000"/>
          <w:sz w:val="20"/>
          <w:szCs w:val="20"/>
          <w:lang w:eastAsia="en-GB"/>
        </w:rPr>
        <w:t>July</w:t>
      </w:r>
      <w:r w:rsidR="00FC407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2022</w:t>
      </w:r>
      <w:r w:rsidRPr="00CF1999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, for the quarter ended </w:t>
      </w:r>
      <w:r w:rsidR="008C23BA">
        <w:rPr>
          <w:rFonts w:ascii="Arial" w:hAnsi="Arial" w:cs="Arial"/>
          <w:bCs/>
          <w:color w:val="000000"/>
          <w:sz w:val="20"/>
          <w:szCs w:val="20"/>
          <w:lang w:eastAsia="en-GB"/>
        </w:rPr>
        <w:t>3</w:t>
      </w:r>
      <w:r w:rsidR="00432284">
        <w:rPr>
          <w:rFonts w:ascii="Arial" w:hAnsi="Arial" w:cs="Arial"/>
          <w:bCs/>
          <w:color w:val="000000"/>
          <w:sz w:val="20"/>
          <w:szCs w:val="20"/>
          <w:lang w:eastAsia="en-GB"/>
        </w:rPr>
        <w:t>0</w:t>
      </w:r>
      <w:r w:rsidR="008C23BA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432284">
        <w:rPr>
          <w:rFonts w:ascii="Arial" w:hAnsi="Arial" w:cs="Arial"/>
          <w:bCs/>
          <w:color w:val="000000"/>
          <w:sz w:val="20"/>
          <w:szCs w:val="20"/>
          <w:lang w:eastAsia="en-GB"/>
        </w:rPr>
        <w:t>June</w:t>
      </w:r>
      <w:r w:rsidR="000B76D9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202</w:t>
      </w:r>
      <w:r w:rsidR="009D3FF1">
        <w:rPr>
          <w:rFonts w:ascii="Arial" w:hAnsi="Arial" w:cs="Arial"/>
          <w:bCs/>
          <w:color w:val="000000"/>
          <w:sz w:val="20"/>
          <w:szCs w:val="20"/>
          <w:lang w:eastAsia="en-GB"/>
        </w:rPr>
        <w:t>2</w:t>
      </w:r>
      <w:r w:rsidRPr="00CF1999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as follows: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213"/>
        <w:gridCol w:w="2294"/>
        <w:gridCol w:w="1637"/>
        <w:gridCol w:w="1397"/>
        <w:gridCol w:w="1252"/>
        <w:gridCol w:w="1526"/>
      </w:tblGrid>
      <w:tr w:rsidR="00CF1999" w14:paraId="7B06F2DE" w14:textId="77777777" w:rsidTr="00402336">
        <w:trPr>
          <w:trHeight w:val="96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10A7D1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Alpha code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02CB3A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Dividend/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>Interest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3B42CC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Foreign/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 xml:space="preserve"> Local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97E2D9A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 xml:space="preserve">Gross 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>Distribution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>(Cents per unit)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A84E34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Subject to Withholding tax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>Yes/ No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CCFD5A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Withholding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Tax (%)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2204515" w14:textId="77777777" w:rsidR="00CF1999" w:rsidRDefault="00CF1999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 xml:space="preserve">Net 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>Distribution</w:t>
            </w:r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br/>
              <w:t>(Cents per unit)</w:t>
            </w:r>
          </w:p>
        </w:tc>
      </w:tr>
      <w:tr w:rsidR="009D3FF1" w14:paraId="68D78DE7" w14:textId="77777777" w:rsidTr="00CF19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A03059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06BB05C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596DB8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D323CE" w14:textId="3DCC9C51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32284">
              <w:rPr>
                <w:rFonts w:ascii="Arial" w:hAnsi="Arial" w:cs="Arial"/>
                <w:color w:val="000000"/>
                <w:sz w:val="20"/>
                <w:szCs w:val="20"/>
              </w:rPr>
              <w:t>61895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116841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D97E53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AD00189" w14:textId="7C47E17A" w:rsidR="009D3FF1" w:rsidRDefault="00432284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0.61895</w:t>
            </w:r>
          </w:p>
        </w:tc>
      </w:tr>
      <w:tr w:rsidR="009D3FF1" w14:paraId="247C860A" w14:textId="77777777" w:rsidTr="00CF19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6BCC68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8D846E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Dividend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A1E30D8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African Dividend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344DA35" w14:textId="4C5CB523" w:rsidR="009D3FF1" w:rsidRDefault="00432284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741A51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226108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9F12DF3" w14:textId="2B4490C3" w:rsidR="009D3FF1" w:rsidRDefault="00432284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9D3FF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21333</w:t>
            </w:r>
          </w:p>
        </w:tc>
      </w:tr>
      <w:tr w:rsidR="009D3FF1" w14:paraId="76A74A81" w14:textId="77777777" w:rsidTr="00CF19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2F0167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E55A91B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Dividend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453EBC" w14:textId="763ABEEC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Foreign Dividend</w:t>
            </w:r>
            <w:r w:rsidRPr="00C14CC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84888B" w14:textId="0F9C4C3F" w:rsidR="009D3FF1" w:rsidRDefault="00432284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D3FF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76F297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45909A" w14:textId="77777777" w:rsidR="009D3FF1" w:rsidRDefault="009D3FF1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C946A0" w14:textId="41C18CAB" w:rsidR="009D3FF1" w:rsidRDefault="00432284" w:rsidP="009D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3.74805</w:t>
            </w:r>
          </w:p>
        </w:tc>
      </w:tr>
      <w:tr w:rsidR="00432284" w14:paraId="35AE8329" w14:textId="77777777" w:rsidTr="004C08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9BF01F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57A7E8" w14:textId="68DF2E2F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Dividend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D15688" w14:textId="3945C64A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61">
              <w:rPr>
                <w:rFonts w:ascii="Arial" w:hAnsi="Arial" w:cs="Arial"/>
                <w:color w:val="000000"/>
                <w:sz w:val="20"/>
                <w:szCs w:val="20"/>
              </w:rPr>
              <w:t>Foreign (</w:t>
            </w:r>
            <w:r w:rsidR="0008562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431361">
              <w:rPr>
                <w:rFonts w:ascii="Arial" w:hAnsi="Arial" w:cs="Arial"/>
                <w:color w:val="000000"/>
                <w:sz w:val="20"/>
                <w:szCs w:val="20"/>
              </w:rPr>
              <w:t>*** [S64N]</w:t>
            </w:r>
            <w:r w:rsidRPr="00C14CC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F184C9" w14:textId="5D3D687A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17FE3B8" w14:textId="3997ACF9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4DD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4FD560" w14:textId="276FEF4A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B97AF3" w14:textId="0A883630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5.20864</w:t>
            </w:r>
          </w:p>
        </w:tc>
      </w:tr>
      <w:tr w:rsidR="00432284" w14:paraId="77F531BB" w14:textId="77777777" w:rsidTr="004C08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A3EC82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B50AA0" w14:textId="54CEA508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Dividend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6555F9" w14:textId="169DFD60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REITs**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9FEDA1" w14:textId="2E89C35C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26BE77F" w14:textId="0AD39B0F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4DD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9CBAD8" w14:textId="6B0FCA8B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B8CF4B" w14:textId="500170CA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3.76181</w:t>
            </w:r>
          </w:p>
        </w:tc>
      </w:tr>
      <w:tr w:rsidR="00432284" w14:paraId="26DE8367" w14:textId="77777777" w:rsidTr="004C08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F2F2CE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598B5F" w14:textId="3D6FD751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Dividend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44A0BE" w14:textId="2093A7D5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 Reclaim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D75BB7" w14:textId="462B07EC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AE621EC" w14:textId="4C4C5544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B0152F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296A44" w14:textId="7BDBD274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0.50078</w:t>
            </w:r>
          </w:p>
        </w:tc>
      </w:tr>
      <w:tr w:rsidR="00432284" w14:paraId="049CBD55" w14:textId="77777777" w:rsidTr="00CF19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F27CF5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B0AE4E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31B9E03" w14:textId="77777777" w:rsidR="00432284" w:rsidRDefault="00432284" w:rsidP="004322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5898AFE" w14:textId="784A2474" w:rsidR="00432284" w:rsidRPr="009D3FF1" w:rsidRDefault="00432284" w:rsidP="00432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47.65788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8A60B11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5034805" w14:textId="77777777" w:rsidR="00432284" w:rsidRDefault="00432284" w:rsidP="00432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EEAE2C" w14:textId="3B5BCF83" w:rsidR="00432284" w:rsidRPr="009D3FF1" w:rsidRDefault="00432284" w:rsidP="00432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39.05156</w:t>
            </w:r>
          </w:p>
        </w:tc>
      </w:tr>
    </w:tbl>
    <w:p w14:paraId="0C181636" w14:textId="77777777" w:rsidR="00CF1999" w:rsidRDefault="00F121BB" w:rsidP="006A43F6">
      <w:pPr>
        <w:spacing w:before="240" w:after="24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Fu</w:t>
      </w:r>
      <w:r w:rsidR="00CF1999">
        <w:rPr>
          <w:rFonts w:ascii="Arial" w:hAnsi="Arial" w:cs="Arial"/>
          <w:sz w:val="20"/>
          <w:szCs w:val="20"/>
          <w:lang w:eastAsia="en-GB"/>
        </w:rPr>
        <w:t>rther details are listed below:</w:t>
      </w:r>
    </w:p>
    <w:p w14:paraId="1318CF2A" w14:textId="46BB4B6F" w:rsidR="00F121BB" w:rsidRDefault="00C14CCB" w:rsidP="006A43F6">
      <w:pPr>
        <w:spacing w:before="240" w:after="240"/>
        <w:jc w:val="both"/>
        <w:rPr>
          <w:rFonts w:ascii="Arial" w:hAnsi="Arial" w:cs="Arial"/>
          <w:sz w:val="20"/>
          <w:szCs w:val="20"/>
          <w:lang w:eastAsia="en-GB"/>
        </w:rPr>
      </w:pPr>
      <w:r w:rsidRPr="00C14CCB">
        <w:rPr>
          <w:rFonts w:ascii="Arial" w:hAnsi="Arial" w:cs="Arial"/>
          <w:sz w:val="20"/>
          <w:szCs w:val="20"/>
          <w:vertAlign w:val="superscript"/>
          <w:lang w:eastAsia="en-GB"/>
        </w:rPr>
        <w:t>1</w:t>
      </w:r>
      <w:r w:rsidR="00F121BB">
        <w:rPr>
          <w:rFonts w:ascii="Arial" w:hAnsi="Arial" w:cs="Arial"/>
          <w:sz w:val="20"/>
          <w:szCs w:val="20"/>
          <w:lang w:eastAsia="en-GB"/>
        </w:rPr>
        <w:t>Source of foreign taxable dividends:</w:t>
      </w:r>
    </w:p>
    <w:tbl>
      <w:tblPr>
        <w:tblW w:w="5279" w:type="dxa"/>
        <w:tblInd w:w="103" w:type="dxa"/>
        <w:tblLook w:val="04A0" w:firstRow="1" w:lastRow="0" w:firstColumn="1" w:lastColumn="0" w:noHBand="0" w:noVBand="1"/>
      </w:tblPr>
      <w:tblGrid>
        <w:gridCol w:w="3691"/>
        <w:gridCol w:w="1446"/>
        <w:gridCol w:w="142"/>
      </w:tblGrid>
      <w:tr w:rsidR="009D3FF1" w:rsidRPr="00F121BB" w14:paraId="15EB69A3" w14:textId="77777777" w:rsidTr="006174CC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9610D" w14:textId="7CA089BB" w:rsidR="009D3FF1" w:rsidRDefault="009D3FF1" w:rsidP="009D3F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8ECF7CD" w14:textId="38BF99BC" w:rsidR="009D3FF1" w:rsidRDefault="00432284" w:rsidP="009D3F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</w:t>
            </w:r>
            <w:r w:rsidR="009D3FF1" w:rsidRPr="009D3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432284" w:rsidRPr="00934703" w14:paraId="0A73CB08" w14:textId="77777777" w:rsidTr="00703B18">
        <w:trPr>
          <w:gridAfter w:val="1"/>
          <w:wAfter w:w="142" w:type="dxa"/>
          <w:trHeight w:val="255"/>
        </w:trPr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2BE" w14:textId="77777777" w:rsidR="00432284" w:rsidRPr="00934703" w:rsidRDefault="00432284" w:rsidP="00703B18">
            <w:pPr>
              <w:spacing w:before="240" w:after="240"/>
              <w:ind w:left="-103" w:right="-209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CCB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Source of foreign dividends subject to S64N rebate   </w:t>
            </w:r>
          </w:p>
        </w:tc>
      </w:tr>
      <w:tr w:rsidR="00432284" w14:paraId="29EBC6AD" w14:textId="77777777" w:rsidTr="00703B1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09A85" w14:textId="66F92937" w:rsidR="00432284" w:rsidRDefault="00432284" w:rsidP="00703B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474A507" w14:textId="77777777" w:rsidR="00432284" w:rsidRDefault="00432284" w:rsidP="00703B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100.00%</w:t>
            </w:r>
          </w:p>
        </w:tc>
      </w:tr>
    </w:tbl>
    <w:p w14:paraId="363D0E8F" w14:textId="40BC78BB" w:rsidR="007C3A7D" w:rsidRDefault="007C3A7D" w:rsidP="006A43F6">
      <w:pPr>
        <w:spacing w:before="240" w:after="240"/>
        <w:jc w:val="both"/>
        <w:rPr>
          <w:rFonts w:ascii="Arial" w:hAnsi="Arial" w:cs="Arial"/>
          <w:sz w:val="20"/>
          <w:szCs w:val="20"/>
          <w:lang w:eastAsia="en-GB"/>
        </w:rPr>
      </w:pPr>
      <w:r w:rsidRPr="007C3A7D">
        <w:rPr>
          <w:rFonts w:ascii="Arial" w:hAnsi="Arial" w:cs="Arial"/>
          <w:sz w:val="20"/>
          <w:szCs w:val="20"/>
          <w:lang w:eastAsia="en-GB"/>
        </w:rPr>
        <w:t xml:space="preserve">Notice is hereby given that the following dates are of importance </w:t>
      </w:r>
      <w:proofErr w:type="gramStart"/>
      <w:r w:rsidRPr="007C3A7D">
        <w:rPr>
          <w:rFonts w:ascii="Arial" w:hAnsi="Arial" w:cs="Arial"/>
          <w:sz w:val="20"/>
          <w:szCs w:val="20"/>
          <w:lang w:eastAsia="en-GB"/>
        </w:rPr>
        <w:t>in regard to</w:t>
      </w:r>
      <w:proofErr w:type="gramEnd"/>
      <w:r w:rsidRPr="007C3A7D">
        <w:rPr>
          <w:rFonts w:ascii="Arial" w:hAnsi="Arial" w:cs="Arial"/>
          <w:sz w:val="20"/>
          <w:szCs w:val="20"/>
          <w:lang w:eastAsia="en-GB"/>
        </w:rPr>
        <w:t xml:space="preserve"> the distribution by the above ETF for the quarter ended </w:t>
      </w:r>
      <w:r w:rsidR="008C23BA">
        <w:rPr>
          <w:rFonts w:ascii="Arial" w:hAnsi="Arial" w:cs="Arial"/>
          <w:sz w:val="20"/>
          <w:szCs w:val="20"/>
          <w:lang w:eastAsia="en-GB"/>
        </w:rPr>
        <w:t>3</w:t>
      </w:r>
      <w:r w:rsidR="00432284">
        <w:rPr>
          <w:rFonts w:ascii="Arial" w:hAnsi="Arial" w:cs="Arial"/>
          <w:sz w:val="20"/>
          <w:szCs w:val="20"/>
          <w:lang w:eastAsia="en-GB"/>
        </w:rPr>
        <w:t>0</w:t>
      </w:r>
      <w:r w:rsidR="008C23B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32284">
        <w:rPr>
          <w:rFonts w:ascii="Arial" w:hAnsi="Arial" w:cs="Arial"/>
          <w:sz w:val="20"/>
          <w:szCs w:val="20"/>
          <w:lang w:eastAsia="en-GB"/>
        </w:rPr>
        <w:t>June</w:t>
      </w:r>
      <w:r w:rsidR="005633F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2336">
        <w:rPr>
          <w:rFonts w:ascii="Arial" w:hAnsi="Arial" w:cs="Arial"/>
          <w:sz w:val="20"/>
          <w:szCs w:val="20"/>
          <w:lang w:eastAsia="en-GB"/>
        </w:rPr>
        <w:t>202</w:t>
      </w:r>
      <w:r w:rsidR="005633F1">
        <w:rPr>
          <w:rFonts w:ascii="Arial" w:hAnsi="Arial" w:cs="Arial"/>
          <w:sz w:val="20"/>
          <w:szCs w:val="20"/>
          <w:lang w:eastAsia="en-GB"/>
        </w:rPr>
        <w:t>2</w:t>
      </w:r>
      <w:r w:rsidRPr="007C3A7D">
        <w:rPr>
          <w:rFonts w:ascii="Arial" w:hAnsi="Arial" w:cs="Arial"/>
          <w:sz w:val="20"/>
          <w:szCs w:val="20"/>
          <w:lang w:eastAsia="en-GB"/>
        </w:rPr>
        <w:t xml:space="preserve">: </w:t>
      </w:r>
    </w:p>
    <w:tbl>
      <w:tblPr>
        <w:tblW w:w="7891" w:type="dxa"/>
        <w:tblInd w:w="103" w:type="dxa"/>
        <w:tblLook w:val="04A0" w:firstRow="1" w:lastRow="0" w:firstColumn="1" w:lastColumn="0" w:noHBand="0" w:noVBand="1"/>
      </w:tblPr>
      <w:tblGrid>
        <w:gridCol w:w="3691"/>
        <w:gridCol w:w="4200"/>
      </w:tblGrid>
      <w:tr w:rsidR="00402336" w:rsidRPr="007C3A7D" w14:paraId="0C0521AF" w14:textId="77777777" w:rsidTr="00357CD7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bottom"/>
            <w:hideMark/>
          </w:tcPr>
          <w:p w14:paraId="5F6445A9" w14:textId="77777777" w:rsidR="00402336" w:rsidRPr="007C3A7D" w:rsidRDefault="00402336" w:rsidP="004023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Declaration/ </w:t>
            </w:r>
            <w:proofErr w:type="spellStart"/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Finalisation</w:t>
            </w:r>
            <w:proofErr w:type="spellEnd"/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date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/>
            <w:hideMark/>
          </w:tcPr>
          <w:p w14:paraId="24D149B3" w14:textId="7B2D4D6B" w:rsidR="00402336" w:rsidRPr="00C06397" w:rsidRDefault="009D3FF1" w:rsidP="008E45AA">
            <w:pP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Thursday, 14 </w:t>
            </w:r>
            <w:r w:rsidR="0043228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July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2022</w:t>
            </w:r>
          </w:p>
        </w:tc>
      </w:tr>
      <w:tr w:rsidR="00402336" w:rsidRPr="007C3A7D" w14:paraId="5AD2F923" w14:textId="77777777" w:rsidTr="00357CD7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FF41" w14:textId="77777777" w:rsidR="00402336" w:rsidRPr="007C3A7D" w:rsidRDefault="00402336" w:rsidP="004023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Last day to trade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41CC" w14:textId="4E8CEF7F" w:rsidR="00402336" w:rsidRPr="00C06397" w:rsidRDefault="00432284" w:rsidP="008E45AA">
            <w:pP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Tuesday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19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July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2022</w:t>
            </w:r>
          </w:p>
        </w:tc>
      </w:tr>
      <w:tr w:rsidR="00402336" w:rsidRPr="007C3A7D" w14:paraId="07AD2591" w14:textId="77777777" w:rsidTr="00357CD7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9F3C" w14:textId="77777777" w:rsidR="00402336" w:rsidRPr="007C3A7D" w:rsidRDefault="00402336" w:rsidP="004023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Ex distribution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B3BC" w14:textId="65A68479" w:rsidR="00402336" w:rsidRPr="00C06397" w:rsidRDefault="00432284" w:rsidP="008E45AA">
            <w:pP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Wednesday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, 2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0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July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2022</w:t>
            </w:r>
          </w:p>
        </w:tc>
      </w:tr>
      <w:tr w:rsidR="00402336" w:rsidRPr="007C3A7D" w14:paraId="481F6147" w14:textId="77777777" w:rsidTr="00357CD7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DF4E" w14:textId="77777777" w:rsidR="00402336" w:rsidRPr="007C3A7D" w:rsidRDefault="00402336" w:rsidP="004023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Record date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6C96" w14:textId="0C193FF0" w:rsidR="00402336" w:rsidRPr="00C06397" w:rsidRDefault="009D3FF1" w:rsidP="008E45AA">
            <w:pP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bookmarkStart w:id="0" w:name="OLE_LINK1"/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Friday, 2</w:t>
            </w:r>
            <w:r w:rsidR="0043228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43228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July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2022</w:t>
            </w:r>
            <w:bookmarkEnd w:id="0"/>
          </w:p>
        </w:tc>
      </w:tr>
      <w:tr w:rsidR="00402336" w:rsidRPr="007C3A7D" w14:paraId="4267B600" w14:textId="77777777" w:rsidTr="00357CD7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FC4" w14:textId="77777777" w:rsidR="00402336" w:rsidRPr="007C3A7D" w:rsidRDefault="00402336" w:rsidP="004023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C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Payment date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DD47" w14:textId="6D8ECFC4" w:rsidR="00402336" w:rsidRPr="00C06397" w:rsidRDefault="00432284" w:rsidP="008E45AA">
            <w:pP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Monday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25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July</w:t>
            </w:r>
            <w:r w:rsidR="009D3F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2022</w:t>
            </w:r>
          </w:p>
        </w:tc>
      </w:tr>
    </w:tbl>
    <w:p w14:paraId="1FBDE33C" w14:textId="77777777" w:rsidR="00F121BB" w:rsidRDefault="00F121BB" w:rsidP="008F30C0">
      <w:pPr>
        <w:spacing w:before="240" w:after="240"/>
        <w:rPr>
          <w:rFonts w:ascii="Arial" w:hAnsi="Arial" w:cs="Arial"/>
          <w:sz w:val="20"/>
          <w:szCs w:val="20"/>
          <w:lang w:eastAsia="en-GB"/>
        </w:rPr>
      </w:pPr>
    </w:p>
    <w:p w14:paraId="792AB1B7" w14:textId="35599040" w:rsidR="009D3FF1" w:rsidRDefault="00CF1999" w:rsidP="008F30C0">
      <w:pPr>
        <w:spacing w:before="240" w:after="240"/>
        <w:rPr>
          <w:rFonts w:ascii="Arial" w:hAnsi="Arial" w:cs="Arial"/>
          <w:bCs/>
          <w:sz w:val="20"/>
          <w:szCs w:val="20"/>
          <w:lang w:val="en-ZA" w:eastAsia="en-GB"/>
        </w:rPr>
      </w:pPr>
      <w:r>
        <w:rPr>
          <w:rFonts w:ascii="Arial" w:hAnsi="Arial" w:cs="Arial"/>
          <w:bCs/>
          <w:sz w:val="20"/>
          <w:szCs w:val="20"/>
          <w:lang w:val="en-ZA" w:eastAsia="en-GB"/>
        </w:rPr>
        <w:lastRenderedPageBreak/>
        <w:t>T</w:t>
      </w:r>
      <w:r w:rsidRPr="00CF1999">
        <w:rPr>
          <w:rFonts w:ascii="Arial" w:hAnsi="Arial" w:cs="Arial"/>
          <w:bCs/>
          <w:sz w:val="20"/>
          <w:szCs w:val="20"/>
          <w:lang w:val="en-ZA" w:eastAsia="en-GB"/>
        </w:rPr>
        <w:t>he dis</w:t>
      </w:r>
      <w:r w:rsidR="002A194E">
        <w:rPr>
          <w:rFonts w:ascii="Arial" w:hAnsi="Arial" w:cs="Arial"/>
          <w:bCs/>
          <w:sz w:val="20"/>
          <w:szCs w:val="20"/>
          <w:lang w:val="en-ZA" w:eastAsia="en-GB"/>
        </w:rPr>
        <w:t xml:space="preserve">tribution will be paid on </w:t>
      </w:r>
      <w:r w:rsidR="00432284">
        <w:rPr>
          <w:rFonts w:ascii="Arial" w:hAnsi="Arial" w:cs="Arial"/>
          <w:bCs/>
          <w:sz w:val="20"/>
          <w:szCs w:val="20"/>
          <w:lang w:val="en-ZA" w:eastAsia="en-GB"/>
        </w:rPr>
        <w:t>Monday</w:t>
      </w:r>
      <w:r w:rsidRPr="00CF1999">
        <w:rPr>
          <w:rFonts w:ascii="Arial" w:hAnsi="Arial" w:cs="Arial"/>
          <w:bCs/>
          <w:sz w:val="20"/>
          <w:szCs w:val="20"/>
          <w:lang w:val="en-ZA" w:eastAsia="en-GB"/>
        </w:rPr>
        <w:t xml:space="preserve">, </w:t>
      </w:r>
      <w:r w:rsidR="00432284">
        <w:rPr>
          <w:rFonts w:ascii="Arial" w:hAnsi="Arial" w:cs="Arial"/>
          <w:bCs/>
          <w:sz w:val="20"/>
          <w:szCs w:val="20"/>
          <w:lang w:val="en-ZA" w:eastAsia="en-GB"/>
        </w:rPr>
        <w:t>25</w:t>
      </w:r>
      <w:r w:rsidR="00200261" w:rsidRPr="00200261">
        <w:rPr>
          <w:rFonts w:ascii="Arial" w:hAnsi="Arial" w:cs="Arial"/>
          <w:bCs/>
          <w:sz w:val="20"/>
          <w:szCs w:val="20"/>
          <w:lang w:val="en-ZA" w:eastAsia="en-GB"/>
        </w:rPr>
        <w:t xml:space="preserve"> </w:t>
      </w:r>
      <w:r w:rsidR="00432284">
        <w:rPr>
          <w:rFonts w:ascii="Arial" w:hAnsi="Arial" w:cs="Arial"/>
          <w:bCs/>
          <w:sz w:val="20"/>
          <w:szCs w:val="20"/>
          <w:lang w:val="en-ZA" w:eastAsia="en-GB"/>
        </w:rPr>
        <w:t>July</w:t>
      </w:r>
      <w:r w:rsidR="008C23BA" w:rsidRPr="00200261">
        <w:rPr>
          <w:rFonts w:ascii="Arial" w:hAnsi="Arial" w:cs="Arial"/>
          <w:bCs/>
          <w:sz w:val="20"/>
          <w:szCs w:val="20"/>
          <w:lang w:val="en-ZA" w:eastAsia="en-GB"/>
        </w:rPr>
        <w:t xml:space="preserve"> 202</w:t>
      </w:r>
      <w:r w:rsidR="00BD6196">
        <w:rPr>
          <w:rFonts w:ascii="Arial" w:hAnsi="Arial" w:cs="Arial"/>
          <w:bCs/>
          <w:sz w:val="20"/>
          <w:szCs w:val="20"/>
          <w:lang w:val="en-ZA" w:eastAsia="en-GB"/>
        </w:rPr>
        <w:t>2</w:t>
      </w:r>
      <w:r w:rsidRPr="00CF1999">
        <w:rPr>
          <w:rFonts w:ascii="Arial" w:hAnsi="Arial" w:cs="Arial"/>
          <w:bCs/>
          <w:sz w:val="20"/>
          <w:szCs w:val="20"/>
          <w:lang w:val="en-ZA" w:eastAsia="en-GB"/>
        </w:rPr>
        <w:t xml:space="preserve"> to all securities holders recorded on the register on Friday, </w:t>
      </w:r>
      <w:r w:rsidR="009D3FF1">
        <w:rPr>
          <w:rFonts w:ascii="Arial" w:hAnsi="Arial" w:cs="Arial"/>
          <w:bCs/>
          <w:sz w:val="20"/>
          <w:szCs w:val="20"/>
          <w:lang w:val="en-ZA" w:eastAsia="en-GB"/>
        </w:rPr>
        <w:t>2</w:t>
      </w:r>
      <w:r w:rsidR="00432284">
        <w:rPr>
          <w:rFonts w:ascii="Arial" w:hAnsi="Arial" w:cs="Arial"/>
          <w:bCs/>
          <w:sz w:val="20"/>
          <w:szCs w:val="20"/>
          <w:lang w:val="en-ZA" w:eastAsia="en-GB"/>
        </w:rPr>
        <w:t>2</w:t>
      </w:r>
      <w:r w:rsidR="009D3FF1">
        <w:rPr>
          <w:rFonts w:ascii="Arial" w:hAnsi="Arial" w:cs="Arial"/>
          <w:bCs/>
          <w:sz w:val="20"/>
          <w:szCs w:val="20"/>
          <w:lang w:val="en-ZA" w:eastAsia="en-GB"/>
        </w:rPr>
        <w:t xml:space="preserve"> </w:t>
      </w:r>
      <w:r w:rsidR="00432284">
        <w:rPr>
          <w:rFonts w:ascii="Arial" w:hAnsi="Arial" w:cs="Arial"/>
          <w:bCs/>
          <w:sz w:val="20"/>
          <w:szCs w:val="20"/>
          <w:lang w:val="en-ZA" w:eastAsia="en-GB"/>
        </w:rPr>
        <w:t>July</w:t>
      </w:r>
      <w:r w:rsidR="00E01320">
        <w:rPr>
          <w:rFonts w:ascii="Arial" w:hAnsi="Arial" w:cs="Arial"/>
          <w:bCs/>
          <w:sz w:val="20"/>
          <w:szCs w:val="20"/>
          <w:lang w:val="en-ZA" w:eastAsia="en-GB"/>
        </w:rPr>
        <w:t xml:space="preserve"> 2022</w:t>
      </w:r>
      <w:r w:rsidRPr="00CF1999">
        <w:rPr>
          <w:rFonts w:ascii="Arial" w:hAnsi="Arial" w:cs="Arial"/>
          <w:bCs/>
          <w:sz w:val="20"/>
          <w:szCs w:val="20"/>
          <w:lang w:val="en-ZA" w:eastAsia="en-GB"/>
        </w:rPr>
        <w:t xml:space="preserve">. </w:t>
      </w:r>
    </w:p>
    <w:p w14:paraId="2DBDE30A" w14:textId="77777777" w:rsidR="00502B2A" w:rsidRDefault="008F30C0" w:rsidP="008F30C0">
      <w:pPr>
        <w:spacing w:before="240" w:after="24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8F30C0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EFFECT OF DIVIDEND WITHHOLDING TAX ("DWT") ON DISTRIBUTION AMOUNTS: </w:t>
      </w:r>
    </w:p>
    <w:p w14:paraId="68BBCBC0" w14:textId="77777777" w:rsidR="008F30C0" w:rsidRPr="008F30C0" w:rsidRDefault="008F63BC" w:rsidP="008F30C0">
      <w:pPr>
        <w:spacing w:before="240" w:after="24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With effect from 22 February 2018</w:t>
      </w:r>
      <w:r w:rsidR="008F30C0" w:rsidRPr="008F30C0">
        <w:rPr>
          <w:rFonts w:ascii="Arial" w:hAnsi="Arial" w:cs="Arial"/>
          <w:sz w:val="20"/>
          <w:szCs w:val="20"/>
          <w:lang w:eastAsia="en-GB"/>
        </w:rPr>
        <w:t>, all South African local and certain foreign dividends paid to investors are subjec</w:t>
      </w:r>
      <w:r w:rsidR="006F2407">
        <w:rPr>
          <w:rFonts w:ascii="Arial" w:hAnsi="Arial" w:cs="Arial"/>
          <w:sz w:val="20"/>
          <w:szCs w:val="20"/>
          <w:lang w:eastAsia="en-GB"/>
        </w:rPr>
        <w:t>t to DWT at a current rate of 20</w:t>
      </w:r>
      <w:r w:rsidR="008F30C0" w:rsidRPr="008F30C0">
        <w:rPr>
          <w:rFonts w:ascii="Arial" w:hAnsi="Arial" w:cs="Arial"/>
          <w:sz w:val="20"/>
          <w:szCs w:val="20"/>
          <w:lang w:eastAsia="en-GB"/>
        </w:rPr>
        <w:t>% except where an investor is exempt or qualifies for a reduced rate of DWT.</w:t>
      </w:r>
    </w:p>
    <w:p w14:paraId="07846BC8" w14:textId="77777777" w:rsidR="00C47648" w:rsidRDefault="008F30C0" w:rsidP="00C47648">
      <w:pPr>
        <w:spacing w:before="240" w:after="24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8F30C0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EFFECT OF </w:t>
      </w:r>
      <w:r w:rsidR="00C47648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INTEREST WITHHOLDING TAX (IWT) </w:t>
      </w:r>
      <w:r w:rsidR="00C47648" w:rsidRPr="008F30C0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ON DISTRIBUTION AMOUNTS</w:t>
      </w:r>
      <w:r w:rsidR="00C47648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:</w:t>
      </w:r>
    </w:p>
    <w:p w14:paraId="7E2781C3" w14:textId="77777777" w:rsidR="00C47648" w:rsidRPr="00C47648" w:rsidRDefault="00C47648" w:rsidP="00C47648">
      <w:pPr>
        <w:spacing w:before="240" w:after="24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Interest accruing from a South African source to a non-resident, excluding a controlled foreign company, will be subject to withholding tax at a rate of </w:t>
      </w:r>
      <w:r w:rsidR="00C83A44">
        <w:rPr>
          <w:rFonts w:ascii="Arial" w:hAnsi="Arial" w:cs="Arial"/>
          <w:bCs/>
          <w:color w:val="000000"/>
          <w:sz w:val="20"/>
          <w:szCs w:val="20"/>
          <w:lang w:eastAsia="en-GB"/>
        </w:rPr>
        <w:t>20</w:t>
      </w: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>% on payment, except interest</w:t>
      </w:r>
      <w:r>
        <w:rPr>
          <w:rFonts w:ascii="Arial" w:hAnsi="Arial" w:cs="Arial"/>
          <w:bCs/>
          <w:color w:val="000000"/>
          <w:sz w:val="20"/>
          <w:szCs w:val="20"/>
          <w:lang w:eastAsia="en-GB"/>
        </w:rPr>
        <w:t>,</w:t>
      </w:r>
    </w:p>
    <w:p w14:paraId="4CAA1930" w14:textId="77777777" w:rsidR="00C47648" w:rsidRPr="00C47648" w:rsidRDefault="00C47648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• arising on any Government debt instrument </w:t>
      </w:r>
    </w:p>
    <w:p w14:paraId="34953050" w14:textId="77777777" w:rsidR="00C47648" w:rsidRPr="00C47648" w:rsidRDefault="00C47648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• arising on any listed debt instrument </w:t>
      </w:r>
    </w:p>
    <w:p w14:paraId="5A6B39CA" w14:textId="77777777" w:rsidR="00C47648" w:rsidRPr="00C47648" w:rsidRDefault="00C47648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>• arising on any debt owed by a bank or the South African Reserve Bank</w:t>
      </w:r>
    </w:p>
    <w:p w14:paraId="5E94D438" w14:textId="77777777" w:rsidR="00C47648" w:rsidRPr="00C47648" w:rsidRDefault="00C47648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• arising from a bill of exchange or letter of credit where goods are imported into South Africa and where an authorized dealer has certified such on the instrument </w:t>
      </w:r>
    </w:p>
    <w:p w14:paraId="0E9E6062" w14:textId="77777777" w:rsidR="00C47648" w:rsidRPr="00C47648" w:rsidRDefault="00C47648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>• payable by a headquarter company</w:t>
      </w:r>
    </w:p>
    <w:p w14:paraId="6CE442A0" w14:textId="77777777" w:rsidR="00C47648" w:rsidRPr="00C47648" w:rsidRDefault="00C47648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>• accruing to a non-resident natural person who was physically present in South Africa for a period exceeding 183 days in aggregate, during that year, or carried on a business through a permanent establishment in South Africa</w:t>
      </w:r>
    </w:p>
    <w:p w14:paraId="0BDCE8B8" w14:textId="77777777" w:rsidR="00502B2A" w:rsidRDefault="00502B2A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</w:p>
    <w:p w14:paraId="34D8803C" w14:textId="77777777" w:rsidR="00C47648" w:rsidRDefault="00C47648" w:rsidP="00C47648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Investors are advised that to the extent that the distribution amount comprise of any interest, it will not be subject to WTI </w:t>
      </w:r>
      <w:proofErr w:type="gramStart"/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>by virtue of the fact that</w:t>
      </w:r>
      <w:proofErr w:type="gramEnd"/>
      <w:r w:rsidRPr="00C47648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it is listed debt instruments and/or bank debt.</w:t>
      </w:r>
      <w:r w:rsidRPr="00C4764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</w:p>
    <w:p w14:paraId="70BC49C6" w14:textId="77777777" w:rsidR="006B5025" w:rsidRPr="006B5025" w:rsidRDefault="006B5025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</w:p>
    <w:p w14:paraId="026711D1" w14:textId="77777777" w:rsidR="006B5025" w:rsidRPr="006B5025" w:rsidRDefault="006B5025" w:rsidP="00C47648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6B5025">
        <w:rPr>
          <w:rFonts w:ascii="Arial" w:hAnsi="Arial" w:cs="Arial"/>
          <w:bCs/>
          <w:color w:val="000000"/>
          <w:sz w:val="20"/>
          <w:szCs w:val="20"/>
          <w:lang w:eastAsia="en-GB"/>
        </w:rPr>
        <w:t>*Investors should seek advice from their tax advisor on whether the tax and rate shown is applicable to them.</w:t>
      </w:r>
    </w:p>
    <w:p w14:paraId="47232D28" w14:textId="77777777" w:rsidR="00DF615D" w:rsidRDefault="00DF615D" w:rsidP="00C47648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2B883426" w14:textId="77777777" w:rsidR="00DF615D" w:rsidRPr="00DF615D" w:rsidRDefault="00DF615D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**</w:t>
      </w:r>
      <w:r w:rsidRPr="00DF615D">
        <w:t xml:space="preserve"> </w:t>
      </w: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South African tax resident investors </w:t>
      </w:r>
    </w:p>
    <w:p w14:paraId="23454D67" w14:textId="77777777" w:rsidR="00DF615D" w:rsidRPr="00DF615D" w:rsidRDefault="00DF615D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The dividend distribution by a REIT received by South African tax residents must be included in their gross income and will not be exempt in terms of the ordinary dividend exemption in section 10(1)(k)(</w:t>
      </w:r>
      <w:proofErr w:type="spell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i</w:t>
      </w:r>
      <w:proofErr w:type="spell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) of the Income Tax Act No. 58 of 1962 (“the Act”) </w:t>
      </w:r>
      <w:proofErr w:type="gram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as a result of</w:t>
      </w:r>
      <w:proofErr w:type="gram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paragraph (aa) of the proviso thereto which provides that dividends distributed by a REIT are not exempt from income tax. </w:t>
      </w:r>
    </w:p>
    <w:p w14:paraId="34B739B7" w14:textId="77777777" w:rsidR="00DF615D" w:rsidRPr="00DF615D" w:rsidRDefault="00DF615D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</w:p>
    <w:p w14:paraId="742DFE64" w14:textId="77777777" w:rsidR="00DF615D" w:rsidRPr="00DF615D" w:rsidRDefault="00DF615D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bCs/>
          <w:color w:val="000000"/>
          <w:sz w:val="20"/>
          <w:szCs w:val="20"/>
          <w:lang w:eastAsia="en-GB"/>
        </w:rPr>
        <w:t>**</w:t>
      </w: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Non-resident investors for South African income tax purposes </w:t>
      </w:r>
    </w:p>
    <w:p w14:paraId="23852529" w14:textId="380E7D7D" w:rsidR="00DF615D" w:rsidRPr="00DF615D" w:rsidRDefault="00DF615D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The dividend distribution received by non-resident investors will be exempt from income tax in terms of section 10(1)(k)(</w:t>
      </w:r>
      <w:proofErr w:type="spell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i</w:t>
      </w:r>
      <w:proofErr w:type="spell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) of the </w:t>
      </w:r>
      <w:r w:rsidR="004B63A1"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Act but</w:t>
      </w: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will be subject to dividend withholding tax. Dividend withholdi</w:t>
      </w:r>
      <w:r w:rsidR="00DA4A5F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ng tax is levied at a rate of </w:t>
      </w:r>
      <w:proofErr w:type="gramStart"/>
      <w:r w:rsidR="00DA4A5F">
        <w:rPr>
          <w:rFonts w:ascii="Arial" w:hAnsi="Arial" w:cs="Arial"/>
          <w:bCs/>
          <w:color w:val="000000"/>
          <w:sz w:val="20"/>
          <w:szCs w:val="20"/>
          <w:lang w:eastAsia="en-GB"/>
        </w:rPr>
        <w:t>20</w:t>
      </w: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%, unless</w:t>
      </w:r>
      <w:proofErr w:type="gram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the rate is reduced in terms of any applicable agreement for the avoidance of double taxation (“DTA”) between South Africa and the country of residence of the non-resident investor. </w:t>
      </w:r>
    </w:p>
    <w:p w14:paraId="45EF5FD9" w14:textId="77777777" w:rsidR="00DF615D" w:rsidRPr="00DF615D" w:rsidRDefault="00DF615D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A reduced dividend withholding rate in terms of the applicable DTA may only be relied on if the non-resident investor has provided the following forms to their CSDP or broker, </w:t>
      </w:r>
      <w:proofErr w:type="gram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as the case may be in</w:t>
      </w:r>
      <w:proofErr w:type="gram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respect of its participatory interest: </w:t>
      </w:r>
    </w:p>
    <w:p w14:paraId="0B3CEC64" w14:textId="77777777" w:rsidR="00DF615D" w:rsidRPr="00DF615D" w:rsidRDefault="00DF615D" w:rsidP="00502B2A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a declaration that the dividend is subject to a reduced rate </w:t>
      </w:r>
      <w:proofErr w:type="gram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as a result of</w:t>
      </w:r>
      <w:proofErr w:type="gram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the application of a DTA; and </w:t>
      </w:r>
    </w:p>
    <w:p w14:paraId="3B4562AA" w14:textId="77777777" w:rsidR="00DF615D" w:rsidRDefault="00DF615D" w:rsidP="00502B2A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a written undertaking to inform the CSDP or broker</w:t>
      </w:r>
      <w:proofErr w:type="gram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, as the case may be, should</w:t>
      </w:r>
      <w:proofErr w:type="gram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the circumstances affecting the reduced rate change or the beneficial owner cease to be the beneficial owner, both in the form prescribed by the South African Revenue Service. Non-resident investors are advised to contact their CSDP or broker</w:t>
      </w:r>
      <w:proofErr w:type="gramStart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>, as the case may be, to</w:t>
      </w:r>
      <w:proofErr w:type="gramEnd"/>
      <w:r w:rsidRPr="00DF615D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arrange for the abovementioned documents to be submitted prior to the payment of the distribution if such documents have not already been submitted. </w:t>
      </w:r>
    </w:p>
    <w:p w14:paraId="6FE6DF48" w14:textId="77777777" w:rsidR="0071318F" w:rsidRDefault="0071318F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</w:p>
    <w:p w14:paraId="0710D0F5" w14:textId="77777777" w:rsidR="00162109" w:rsidRDefault="00162109" w:rsidP="00DF615D">
      <w:pPr>
        <w:rPr>
          <w:rFonts w:ascii="Arial" w:hAnsi="Arial" w:cs="Arial"/>
          <w:bCs/>
          <w:color w:val="000000"/>
          <w:sz w:val="20"/>
          <w:szCs w:val="20"/>
          <w:lang w:val="en-ZA"/>
        </w:rPr>
      </w:pPr>
    </w:p>
    <w:p w14:paraId="7A7D70BA" w14:textId="13F772BF" w:rsidR="008C23BA" w:rsidRDefault="00402336" w:rsidP="00934703"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>***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ANHEUSER-BUSCH INBEV</w:t>
      </w:r>
      <w:r w:rsidR="008E45AA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(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ANH</w:t>
      </w:r>
      <w:r w:rsidR="00E31539">
        <w:rPr>
          <w:rFonts w:ascii="Arial" w:hAnsi="Arial" w:cs="Arial"/>
          <w:bCs/>
          <w:color w:val="000000"/>
          <w:sz w:val="20"/>
          <w:szCs w:val="20"/>
          <w:lang w:eastAsia="en-GB"/>
        </w:rPr>
        <w:t>)</w:t>
      </w:r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Distribution - 3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0</w:t>
      </w:r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% withholding tax has been deducted at source. 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15</w:t>
      </w:r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% is reclaimable from the 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Belgian</w:t>
      </w:r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authorities as per SA-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Belgium</w:t>
      </w:r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DTA. An additional 5% SA withholding tax is to be deducted by the relevant regulated intermediaries from SA residents who are not exempt from SA dividend tax. As a result, the initial withholding tax rate for non-exempt SA shareholders will be </w:t>
      </w:r>
      <w:r w:rsidR="00164FD9">
        <w:rPr>
          <w:rFonts w:ascii="Arial" w:hAnsi="Arial" w:cs="Arial"/>
          <w:bCs/>
          <w:color w:val="000000"/>
          <w:sz w:val="20"/>
          <w:szCs w:val="20"/>
          <w:lang w:eastAsia="en-GB"/>
        </w:rPr>
        <w:t>35</w:t>
      </w:r>
      <w:r w:rsidRPr="00402336">
        <w:rPr>
          <w:rFonts w:ascii="Arial" w:hAnsi="Arial" w:cs="Arial"/>
          <w:bCs/>
          <w:color w:val="000000"/>
          <w:sz w:val="20"/>
          <w:szCs w:val="20"/>
          <w:lang w:eastAsia="en-GB"/>
        </w:rPr>
        <w:t>%.</w:t>
      </w:r>
    </w:p>
    <w:p w14:paraId="395A9205" w14:textId="77777777" w:rsidR="00837A27" w:rsidRDefault="00837A27" w:rsidP="00934703"/>
    <w:p w14:paraId="62A0ACCB" w14:textId="77777777" w:rsidR="00D8530B" w:rsidRDefault="00934703" w:rsidP="00934703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934703">
        <w:rPr>
          <w:rFonts w:ascii="Arial" w:hAnsi="Arial" w:cs="Arial"/>
          <w:bCs/>
          <w:color w:val="000000"/>
          <w:sz w:val="20"/>
          <w:szCs w:val="20"/>
          <w:lang w:eastAsia="en-GB"/>
        </w:rPr>
        <w:t>*Investors should seek advice from their tax advisor on whether the tax rate shown is applicable to them.</w:t>
      </w:r>
    </w:p>
    <w:p w14:paraId="4911E5ED" w14:textId="77777777" w:rsidR="00934703" w:rsidRDefault="00934703" w:rsidP="00DF615D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</w:p>
    <w:p w14:paraId="4EAE8A71" w14:textId="77777777" w:rsidR="00502B2A" w:rsidRDefault="00502B2A" w:rsidP="00C47648">
      <w:pP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3302"/>
        <w:gridCol w:w="3309"/>
      </w:tblGrid>
      <w:tr w:rsidR="00502B2A" w:rsidRPr="00512BAB" w14:paraId="0516DACF" w14:textId="77777777" w:rsidTr="00512BAB">
        <w:tc>
          <w:tcPr>
            <w:tcW w:w="3379" w:type="dxa"/>
          </w:tcPr>
          <w:p w14:paraId="1901E69F" w14:textId="77777777" w:rsidR="008F63BC" w:rsidRDefault="008F63BC" w:rsidP="008F63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Additional information</w:t>
            </w:r>
            <w:r w:rsidRPr="00DA1A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78F925DE" w14:textId="77777777" w:rsidR="00502B2A" w:rsidRPr="00512BAB" w:rsidRDefault="00502B2A" w:rsidP="006A4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9" w:type="dxa"/>
          </w:tcPr>
          <w:p w14:paraId="092EBA20" w14:textId="77777777" w:rsidR="00502B2A" w:rsidRPr="00512BAB" w:rsidRDefault="00502B2A" w:rsidP="006A4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12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Number of securities in issue</w:t>
            </w:r>
          </w:p>
        </w:tc>
        <w:tc>
          <w:tcPr>
            <w:tcW w:w="3380" w:type="dxa"/>
          </w:tcPr>
          <w:p w14:paraId="60A7167E" w14:textId="77777777" w:rsidR="00502B2A" w:rsidRPr="00512BAB" w:rsidRDefault="00502B2A" w:rsidP="006A4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12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Tax reference number</w:t>
            </w:r>
          </w:p>
        </w:tc>
      </w:tr>
      <w:tr w:rsidR="00502B2A" w:rsidRPr="00512BAB" w14:paraId="1F04B36A" w14:textId="77777777" w:rsidTr="00512BAB">
        <w:tc>
          <w:tcPr>
            <w:tcW w:w="3379" w:type="dxa"/>
          </w:tcPr>
          <w:p w14:paraId="58D4F46A" w14:textId="77777777" w:rsidR="00502B2A" w:rsidRPr="00512BAB" w:rsidRDefault="00502B2A" w:rsidP="006A4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12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GIVISA</w:t>
            </w:r>
            <w:r w:rsidRPr="00512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3379" w:type="dxa"/>
          </w:tcPr>
          <w:p w14:paraId="7CB16FB4" w14:textId="77777777" w:rsidR="00502B2A" w:rsidRPr="00512BAB" w:rsidRDefault="00502B2A" w:rsidP="006A4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12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2,057,255</w:t>
            </w:r>
          </w:p>
        </w:tc>
        <w:tc>
          <w:tcPr>
            <w:tcW w:w="3380" w:type="dxa"/>
          </w:tcPr>
          <w:p w14:paraId="3E174D7E" w14:textId="77777777" w:rsidR="00502B2A" w:rsidRPr="00512BAB" w:rsidRDefault="00502B2A" w:rsidP="006A4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12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9180010184</w:t>
            </w:r>
          </w:p>
        </w:tc>
      </w:tr>
    </w:tbl>
    <w:p w14:paraId="1263BEC8" w14:textId="7F58363A" w:rsidR="006A43F6" w:rsidRDefault="008C23BA" w:rsidP="006A43F6">
      <w:pPr>
        <w:spacing w:before="240" w:after="24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1</w:t>
      </w:r>
      <w:r w:rsidR="009D3FF1">
        <w:rPr>
          <w:rFonts w:ascii="Arial" w:hAnsi="Arial" w:cs="Arial"/>
          <w:b/>
          <w:bCs/>
          <w:sz w:val="20"/>
          <w:szCs w:val="20"/>
          <w:lang w:eastAsia="en-GB"/>
        </w:rPr>
        <w:t>4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="00432284">
        <w:rPr>
          <w:rFonts w:ascii="Arial" w:hAnsi="Arial" w:cs="Arial"/>
          <w:b/>
          <w:bCs/>
          <w:sz w:val="20"/>
          <w:szCs w:val="20"/>
          <w:lang w:eastAsia="en-GB"/>
        </w:rPr>
        <w:t>July</w:t>
      </w:r>
      <w:r w:rsidR="00477073">
        <w:rPr>
          <w:rFonts w:ascii="Arial" w:hAnsi="Arial" w:cs="Arial"/>
          <w:b/>
          <w:bCs/>
          <w:sz w:val="20"/>
          <w:szCs w:val="20"/>
          <w:lang w:eastAsia="en-GB"/>
        </w:rPr>
        <w:t xml:space="preserve"> 2022</w:t>
      </w:r>
    </w:p>
    <w:p w14:paraId="179AA6E5" w14:textId="77777777" w:rsidR="00D121E1" w:rsidRPr="00DA1A7A" w:rsidRDefault="00D121E1" w:rsidP="006A43F6">
      <w:pPr>
        <w:spacing w:before="240" w:after="240"/>
        <w:rPr>
          <w:rFonts w:ascii="Arial" w:hAnsi="Arial" w:cs="Arial"/>
          <w:b/>
          <w:bCs/>
          <w:sz w:val="20"/>
          <w:szCs w:val="20"/>
          <w:lang w:eastAsia="en-GB"/>
        </w:rPr>
      </w:pPr>
    </w:p>
    <w:sectPr w:rsidR="00D121E1" w:rsidRPr="00DA1A7A" w:rsidSect="008F3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2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C961" w14:textId="77777777" w:rsidR="00F948F3" w:rsidRDefault="00F948F3">
      <w:r>
        <w:separator/>
      </w:r>
    </w:p>
  </w:endnote>
  <w:endnote w:type="continuationSeparator" w:id="0">
    <w:p w14:paraId="6F5F387E" w14:textId="77777777" w:rsidR="00F948F3" w:rsidRDefault="00F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CABE" w14:textId="77777777" w:rsidR="00D121E1" w:rsidRDefault="00D12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EF8F" w14:textId="77777777" w:rsidR="00D121E1" w:rsidRDefault="00D12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C96" w14:textId="77777777" w:rsidR="00D121E1" w:rsidRDefault="00D1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16AB" w14:textId="77777777" w:rsidR="00F948F3" w:rsidRDefault="00F948F3">
      <w:r>
        <w:separator/>
      </w:r>
    </w:p>
  </w:footnote>
  <w:footnote w:type="continuationSeparator" w:id="0">
    <w:p w14:paraId="10BB3BF2" w14:textId="77777777" w:rsidR="00F948F3" w:rsidRDefault="00F9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AFF7" w14:textId="77777777" w:rsidR="00D121E1" w:rsidRDefault="00D12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D2AD" w14:textId="77777777" w:rsidR="00D121E1" w:rsidRDefault="00D121E1">
    <w:pPr>
      <w:pStyle w:val="Header"/>
      <w:jc w:val="center"/>
    </w:pPr>
  </w:p>
  <w:bookmarkStart w:id="1" w:name="_MON_1117611145"/>
  <w:bookmarkEnd w:id="1"/>
  <w:p w14:paraId="2B48041A" w14:textId="77777777" w:rsidR="00D121E1" w:rsidRDefault="00D121E1">
    <w:pPr>
      <w:pStyle w:val="Header"/>
      <w:jc w:val="center"/>
    </w:pPr>
    <w:r>
      <w:object w:dxaOrig="1695" w:dyaOrig="1518" w14:anchorId="45E6C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76pt">
          <v:imagedata r:id="rId1" o:title=""/>
        </v:shape>
        <o:OLEObject Type="Embed" ProgID="Word.Picture.8" ShapeID="_x0000_i1025" DrawAspect="Content" ObjectID="_1719226859" r:id="rId2"/>
      </w:object>
    </w:r>
  </w:p>
  <w:p w14:paraId="04D21757" w14:textId="77777777" w:rsidR="00D121E1" w:rsidRDefault="00D121E1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>NEWFUNDS (RF) PROPRIETARY LIMITED</w:t>
    </w:r>
  </w:p>
  <w:p w14:paraId="0AD6196F" w14:textId="77777777" w:rsidR="00D121E1" w:rsidRDefault="00D121E1">
    <w:pPr>
      <w:pStyle w:val="Header"/>
      <w:jc w:val="center"/>
      <w:rPr>
        <w:sz w:val="16"/>
      </w:rPr>
    </w:pPr>
    <w:proofErr w:type="gramStart"/>
    <w:r>
      <w:rPr>
        <w:sz w:val="16"/>
      </w:rPr>
      <w:t>( Incorporated</w:t>
    </w:r>
    <w:proofErr w:type="gramEnd"/>
    <w:r>
      <w:rPr>
        <w:sz w:val="16"/>
      </w:rPr>
      <w:t xml:space="preserve"> under Registration Number 2005/034899/07 in the </w:t>
    </w:r>
    <w:smartTag w:uri="urn:schemas-microsoft-com:office:smarttags" w:element="place">
      <w:smartTag w:uri="urn:schemas-microsoft-com:office:smarttags" w:element="PlaceType">
        <w:r>
          <w:rPr>
            <w:sz w:val="16"/>
          </w:rPr>
          <w:t>Republic</w:t>
        </w:r>
      </w:smartTag>
      <w:r>
        <w:rPr>
          <w:sz w:val="16"/>
        </w:rPr>
        <w:t xml:space="preserve"> of </w:t>
      </w:r>
      <w:smartTag w:uri="urn:schemas-microsoft-com:office:smarttags" w:element="City">
        <w:r>
          <w:rPr>
            <w:sz w:val="16"/>
          </w:rPr>
          <w:t>South Africa</w:t>
        </w:r>
      </w:smartTag>
    </w:smartTag>
    <w:r>
      <w:rPr>
        <w:sz w:val="16"/>
      </w:rPr>
      <w:t xml:space="preserve"> )</w:t>
    </w:r>
  </w:p>
  <w:p w14:paraId="529A6CF9" w14:textId="77777777" w:rsidR="00D121E1" w:rsidRDefault="00D121E1">
    <w:pPr>
      <w:ind w:left="4320"/>
      <w:rPr>
        <w:rFonts w:cs="Arial"/>
        <w:color w:val="000080"/>
        <w:sz w:val="12"/>
      </w:rPr>
    </w:pPr>
  </w:p>
  <w:p w14:paraId="09536866" w14:textId="77777777" w:rsidR="00D121E1" w:rsidRDefault="00D121E1">
    <w:pPr>
      <w:ind w:left="4320"/>
      <w:rPr>
        <w:rFonts w:cs="Arial"/>
        <w:sz w:val="12"/>
      </w:rPr>
    </w:pPr>
    <w:r>
      <w:rPr>
        <w:rFonts w:cs="Arial"/>
        <w:sz w:val="12"/>
      </w:rPr>
      <w:t>7</w:t>
    </w:r>
    <w:r>
      <w:rPr>
        <w:rFonts w:cs="Arial"/>
        <w:sz w:val="12"/>
        <w:vertAlign w:val="superscript"/>
      </w:rPr>
      <w:t>th</w:t>
    </w:r>
    <w:r>
      <w:rPr>
        <w:rFonts w:cs="Arial"/>
        <w:sz w:val="12"/>
      </w:rPr>
      <w:t xml:space="preserve"> Floor, Absa Towers West </w:t>
    </w:r>
    <w:r>
      <w:rPr>
        <w:rFonts w:cs="Arial"/>
        <w:sz w:val="12"/>
      </w:rPr>
      <w:tab/>
    </w:r>
    <w:r>
      <w:rPr>
        <w:rFonts w:cs="Arial"/>
        <w:sz w:val="12"/>
      </w:rPr>
      <w:tab/>
      <w:t xml:space="preserve">Tel no: </w:t>
    </w:r>
    <w:r>
      <w:rPr>
        <w:rFonts w:cs="Arial"/>
        <w:sz w:val="12"/>
      </w:rPr>
      <w:tab/>
      <w:t xml:space="preserve"> (011) 350 5000</w:t>
    </w:r>
  </w:p>
  <w:p w14:paraId="5FD8BFA9" w14:textId="77777777" w:rsidR="00D121E1" w:rsidRDefault="00D121E1">
    <w:pPr>
      <w:pStyle w:val="BodyTextIndent"/>
      <w:rPr>
        <w:color w:val="auto"/>
        <w:sz w:val="12"/>
      </w:rPr>
    </w:pPr>
    <w:r>
      <w:rPr>
        <w:color w:val="auto"/>
        <w:sz w:val="12"/>
      </w:rPr>
      <w:t>15 Troye Street</w:t>
    </w:r>
    <w:r>
      <w:rPr>
        <w:color w:val="auto"/>
        <w:sz w:val="12"/>
      </w:rPr>
      <w:tab/>
    </w:r>
    <w:r>
      <w:rPr>
        <w:color w:val="auto"/>
        <w:sz w:val="12"/>
      </w:rPr>
      <w:tab/>
      <w:t xml:space="preserve">Fax no: </w:t>
    </w:r>
    <w:r>
      <w:rPr>
        <w:color w:val="auto"/>
        <w:sz w:val="12"/>
      </w:rPr>
      <w:tab/>
      <w:t xml:space="preserve"> (086) 584 9927</w:t>
    </w:r>
  </w:p>
  <w:p w14:paraId="193D8F7D" w14:textId="77777777" w:rsidR="00D121E1" w:rsidRDefault="00D121E1">
    <w:pPr>
      <w:ind w:left="3600" w:firstLine="720"/>
      <w:rPr>
        <w:rFonts w:cs="Arial"/>
        <w:sz w:val="12"/>
      </w:rPr>
    </w:pPr>
    <w:r>
      <w:rPr>
        <w:rFonts w:cs="Arial"/>
        <w:sz w:val="12"/>
      </w:rPr>
      <w:t>Johannesburg 2001</w:t>
    </w:r>
  </w:p>
  <w:p w14:paraId="69B660C2" w14:textId="77777777" w:rsidR="00D121E1" w:rsidRDefault="00D121E1">
    <w:pPr>
      <w:pStyle w:val="Header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2EFD" w14:textId="77777777" w:rsidR="00D121E1" w:rsidRDefault="00D12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191"/>
    <w:multiLevelType w:val="hybridMultilevel"/>
    <w:tmpl w:val="73783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7C6F"/>
    <w:multiLevelType w:val="hybridMultilevel"/>
    <w:tmpl w:val="03EE2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BD"/>
    <w:rsid w:val="0005140F"/>
    <w:rsid w:val="00085624"/>
    <w:rsid w:val="000858B3"/>
    <w:rsid w:val="0008718C"/>
    <w:rsid w:val="00090672"/>
    <w:rsid w:val="0009222B"/>
    <w:rsid w:val="00093B32"/>
    <w:rsid w:val="000B4545"/>
    <w:rsid w:val="000B76D9"/>
    <w:rsid w:val="000C4F31"/>
    <w:rsid w:val="000E3200"/>
    <w:rsid w:val="000F322C"/>
    <w:rsid w:val="00145DD1"/>
    <w:rsid w:val="00152714"/>
    <w:rsid w:val="00162109"/>
    <w:rsid w:val="00163948"/>
    <w:rsid w:val="00164FD9"/>
    <w:rsid w:val="00175D4F"/>
    <w:rsid w:val="00183F83"/>
    <w:rsid w:val="001D5666"/>
    <w:rsid w:val="001D765D"/>
    <w:rsid w:val="001F13B4"/>
    <w:rsid w:val="00200261"/>
    <w:rsid w:val="00273FF7"/>
    <w:rsid w:val="00280A69"/>
    <w:rsid w:val="002919A9"/>
    <w:rsid w:val="00295652"/>
    <w:rsid w:val="002A194E"/>
    <w:rsid w:val="002D06BA"/>
    <w:rsid w:val="002D1F90"/>
    <w:rsid w:val="002F0077"/>
    <w:rsid w:val="003036F2"/>
    <w:rsid w:val="00330379"/>
    <w:rsid w:val="00343C6B"/>
    <w:rsid w:val="003845D9"/>
    <w:rsid w:val="003C6B54"/>
    <w:rsid w:val="003F4E11"/>
    <w:rsid w:val="00402336"/>
    <w:rsid w:val="00404D3E"/>
    <w:rsid w:val="00404F75"/>
    <w:rsid w:val="00411A8B"/>
    <w:rsid w:val="00431361"/>
    <w:rsid w:val="00432284"/>
    <w:rsid w:val="00432496"/>
    <w:rsid w:val="0045363E"/>
    <w:rsid w:val="00455D5A"/>
    <w:rsid w:val="00456E86"/>
    <w:rsid w:val="004666D7"/>
    <w:rsid w:val="004703F1"/>
    <w:rsid w:val="00477073"/>
    <w:rsid w:val="00481033"/>
    <w:rsid w:val="004979C4"/>
    <w:rsid w:val="004A59B1"/>
    <w:rsid w:val="004A7DD4"/>
    <w:rsid w:val="004B36EA"/>
    <w:rsid w:val="004B63A1"/>
    <w:rsid w:val="00502B2A"/>
    <w:rsid w:val="005128A6"/>
    <w:rsid w:val="00512BAB"/>
    <w:rsid w:val="005132EB"/>
    <w:rsid w:val="00513F4F"/>
    <w:rsid w:val="005633F1"/>
    <w:rsid w:val="005D7725"/>
    <w:rsid w:val="005E0F25"/>
    <w:rsid w:val="006019D5"/>
    <w:rsid w:val="006020A7"/>
    <w:rsid w:val="00605BD6"/>
    <w:rsid w:val="006174CC"/>
    <w:rsid w:val="00617B53"/>
    <w:rsid w:val="00634ED7"/>
    <w:rsid w:val="006716EB"/>
    <w:rsid w:val="006A43F6"/>
    <w:rsid w:val="006B5025"/>
    <w:rsid w:val="006C5759"/>
    <w:rsid w:val="006F2407"/>
    <w:rsid w:val="006F252B"/>
    <w:rsid w:val="0071318F"/>
    <w:rsid w:val="007625D2"/>
    <w:rsid w:val="00765CBD"/>
    <w:rsid w:val="007A5D63"/>
    <w:rsid w:val="007B76DA"/>
    <w:rsid w:val="007C003C"/>
    <w:rsid w:val="007C3A7D"/>
    <w:rsid w:val="00812AD2"/>
    <w:rsid w:val="008331BB"/>
    <w:rsid w:val="00837A27"/>
    <w:rsid w:val="00847FCE"/>
    <w:rsid w:val="00870757"/>
    <w:rsid w:val="008866D6"/>
    <w:rsid w:val="008A0333"/>
    <w:rsid w:val="008A7C07"/>
    <w:rsid w:val="008C23BA"/>
    <w:rsid w:val="008D4482"/>
    <w:rsid w:val="008D4A65"/>
    <w:rsid w:val="008D5607"/>
    <w:rsid w:val="008E45AA"/>
    <w:rsid w:val="008F30C0"/>
    <w:rsid w:val="008F63BC"/>
    <w:rsid w:val="00934703"/>
    <w:rsid w:val="00956AD2"/>
    <w:rsid w:val="009D3FF1"/>
    <w:rsid w:val="00A153B3"/>
    <w:rsid w:val="00A4672A"/>
    <w:rsid w:val="00A526B6"/>
    <w:rsid w:val="00A670AB"/>
    <w:rsid w:val="00A8361E"/>
    <w:rsid w:val="00AB3378"/>
    <w:rsid w:val="00AE6107"/>
    <w:rsid w:val="00AF07BC"/>
    <w:rsid w:val="00AF1E6D"/>
    <w:rsid w:val="00B03B08"/>
    <w:rsid w:val="00B04BCC"/>
    <w:rsid w:val="00B0744F"/>
    <w:rsid w:val="00B1323E"/>
    <w:rsid w:val="00B41212"/>
    <w:rsid w:val="00B47B1A"/>
    <w:rsid w:val="00B5378D"/>
    <w:rsid w:val="00B54CEE"/>
    <w:rsid w:val="00B71926"/>
    <w:rsid w:val="00B93F89"/>
    <w:rsid w:val="00BD6196"/>
    <w:rsid w:val="00BE46C4"/>
    <w:rsid w:val="00BE709D"/>
    <w:rsid w:val="00C07561"/>
    <w:rsid w:val="00C14CCB"/>
    <w:rsid w:val="00C44CC0"/>
    <w:rsid w:val="00C473E1"/>
    <w:rsid w:val="00C47648"/>
    <w:rsid w:val="00C706D9"/>
    <w:rsid w:val="00C83A44"/>
    <w:rsid w:val="00CB2FB5"/>
    <w:rsid w:val="00CE2D2C"/>
    <w:rsid w:val="00CF0234"/>
    <w:rsid w:val="00CF1999"/>
    <w:rsid w:val="00D121E1"/>
    <w:rsid w:val="00D16BA7"/>
    <w:rsid w:val="00D4594B"/>
    <w:rsid w:val="00D52267"/>
    <w:rsid w:val="00D531B4"/>
    <w:rsid w:val="00D61E70"/>
    <w:rsid w:val="00D657BD"/>
    <w:rsid w:val="00D8530B"/>
    <w:rsid w:val="00DA0AD9"/>
    <w:rsid w:val="00DA4A5F"/>
    <w:rsid w:val="00DE0ADE"/>
    <w:rsid w:val="00DF615D"/>
    <w:rsid w:val="00E01320"/>
    <w:rsid w:val="00E11DF2"/>
    <w:rsid w:val="00E12CE1"/>
    <w:rsid w:val="00E16EAD"/>
    <w:rsid w:val="00E27FB6"/>
    <w:rsid w:val="00E31539"/>
    <w:rsid w:val="00E46BDE"/>
    <w:rsid w:val="00E51CD5"/>
    <w:rsid w:val="00E7667D"/>
    <w:rsid w:val="00E85B00"/>
    <w:rsid w:val="00F0775D"/>
    <w:rsid w:val="00F121BB"/>
    <w:rsid w:val="00F154D3"/>
    <w:rsid w:val="00F16258"/>
    <w:rsid w:val="00F22B1B"/>
    <w:rsid w:val="00F239E3"/>
    <w:rsid w:val="00F37339"/>
    <w:rsid w:val="00F53AA1"/>
    <w:rsid w:val="00F76578"/>
    <w:rsid w:val="00F8617E"/>
    <w:rsid w:val="00F93BEC"/>
    <w:rsid w:val="00F948F3"/>
    <w:rsid w:val="00F95978"/>
    <w:rsid w:val="00FA50FE"/>
    <w:rsid w:val="00FC407D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32770"/>
    <o:shapelayout v:ext="edit">
      <o:idmap v:ext="edit" data="1"/>
    </o:shapelayout>
  </w:shapeDefaults>
  <w:decimalSymbol w:val=","/>
  <w:listSeparator w:val=","/>
  <w14:docId w14:val="5C4B8294"/>
  <w15:chartTrackingRefBased/>
  <w15:docId w15:val="{8079DF98-4AAB-4404-8DBE-1E243B9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97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959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0" w:firstLine="720"/>
    </w:pPr>
    <w:rPr>
      <w:rFonts w:cs="Arial"/>
      <w:color w:val="000080"/>
      <w:sz w:val="16"/>
    </w:rPr>
  </w:style>
  <w:style w:type="paragraph" w:customStyle="1" w:styleId="Default">
    <w:name w:val="Default"/>
    <w:rsid w:val="008F30C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50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abdj131</dc:creator>
  <cp:keywords/>
  <cp:lastModifiedBy>Melissa Viljoen (ZA)</cp:lastModifiedBy>
  <cp:revision>12</cp:revision>
  <cp:lastPrinted>2004-06-18T09:52:00Z</cp:lastPrinted>
  <dcterms:created xsi:type="dcterms:W3CDTF">2022-01-07T15:46:00Z</dcterms:created>
  <dcterms:modified xsi:type="dcterms:W3CDTF">2022-07-13T12:15:00Z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04381b7f-81d6-4707-974f-da4def239cc1</vt:lpwstr>
  </property>
  <property fmtid="{D5CDD505-2E9C-101B-9397-08002B2CF9AE}" pid="3" name="TitusGDPR">
    <vt:lpwstr>TitusGDPRNo</vt:lpwstr>
  </property>
  <property fmtid="{D5CDD505-2E9C-101B-9397-08002B2CF9AE}" pid="4" name="TitusPCI">
    <vt:lpwstr>TitusPCINo</vt:lpwstr>
  </property>
  <property fmtid="{D5CDD505-2E9C-101B-9397-08002B2CF9AE}" pid="5" name="TitusPOPI">
    <vt:lpwstr>TitusPOPINo</vt:lpwstr>
  </property>
  <property fmtid="{D5CDD505-2E9C-101B-9397-08002B2CF9AE}" pid="6" name="TitusPOPISpecial">
    <vt:lpwstr>TitusPOPISpecialNo</vt:lpwstr>
  </property>
  <property fmtid="{D5CDD505-2E9C-101B-9397-08002B2CF9AE}" pid="7" name="TitusContentScanMode">
    <vt:lpwstr>TitusContentScanModeAutomatic</vt:lpwstr>
  </property>
  <property fmtid="{D5CDD505-2E9C-101B-9397-08002B2CF9AE}" pid="8" name="TitusClassification">
    <vt:lpwstr>TitusRestricted</vt:lpwstr>
  </property>
</Properties>
</file>